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3F" w:rsidRDefault="00A81A3F" w:rsidP="00A81A3F">
      <w:pPr>
        <w:rPr>
          <w:rFonts w:ascii="Verdana" w:hAnsi="Verdana"/>
          <w:u w:val="single"/>
        </w:rPr>
      </w:pPr>
      <w:bookmarkStart w:id="0" w:name="_GoBack"/>
      <w:bookmarkEnd w:id="0"/>
      <w:r>
        <w:rPr>
          <w:rFonts w:ascii="Verdana" w:hAnsi="Verdana"/>
          <w:u w:val="single"/>
        </w:rPr>
        <w:t>Bijlage aan het raadsbesluit van 14 januari 2016</w:t>
      </w:r>
    </w:p>
    <w:p w:rsidR="00A81A3F" w:rsidRPr="002D038B" w:rsidRDefault="00A81A3F" w:rsidP="00A81A3F">
      <w:pPr>
        <w:rPr>
          <w:rFonts w:ascii="Verdana" w:hAnsi="Verdana"/>
          <w:b/>
          <w:u w:val="single"/>
        </w:rPr>
      </w:pPr>
      <w:r w:rsidRPr="002D038B">
        <w:rPr>
          <w:rFonts w:ascii="Verdana" w:hAnsi="Verdana"/>
          <w:b/>
          <w:u w:val="single"/>
        </w:rPr>
        <w:t>RETRIBUTIEREGLEMENT VOOR BRANDWEERINTERVENTIES EN BRANDPREVENTIE</w:t>
      </w:r>
    </w:p>
    <w:p w:rsidR="00A81A3F" w:rsidRDefault="00A81A3F" w:rsidP="00A81A3F">
      <w:pPr>
        <w:rPr>
          <w:rFonts w:ascii="Verdana" w:hAnsi="Verdana"/>
          <w:u w:val="single"/>
        </w:rPr>
      </w:pPr>
    </w:p>
    <w:p w:rsidR="00A81A3F" w:rsidRPr="00534A7A" w:rsidRDefault="00A81A3F" w:rsidP="00A81A3F">
      <w:pPr>
        <w:pStyle w:val="Lijstalinea"/>
        <w:numPr>
          <w:ilvl w:val="0"/>
          <w:numId w:val="1"/>
        </w:numPr>
        <w:tabs>
          <w:tab w:val="left" w:pos="851"/>
        </w:tabs>
        <w:spacing w:after="120"/>
        <w:ind w:left="426"/>
        <w:contextualSpacing w:val="0"/>
        <w:rPr>
          <w:rFonts w:ascii="Verdana" w:hAnsi="Verdana"/>
          <w:sz w:val="20"/>
          <w:u w:val="single"/>
        </w:rPr>
      </w:pPr>
      <w:r>
        <w:rPr>
          <w:rFonts w:ascii="Verdana" w:hAnsi="Verdana"/>
          <w:sz w:val="20"/>
          <w:u w:val="single"/>
        </w:rPr>
        <w:t>Algemeen</w:t>
      </w:r>
    </w:p>
    <w:p w:rsidR="00A81A3F" w:rsidRPr="00534A7A" w:rsidRDefault="00A81A3F" w:rsidP="00A81A3F">
      <w:pPr>
        <w:ind w:left="425"/>
        <w:rPr>
          <w:rFonts w:ascii="Verdana" w:hAnsi="Verdana"/>
        </w:rPr>
      </w:pPr>
      <w:r w:rsidRPr="00534A7A">
        <w:rPr>
          <w:rFonts w:ascii="Verdana" w:hAnsi="Verdana"/>
        </w:rPr>
        <w:t>Er wordt vanaf de inwerkingtreding van dit besluit een retributie gevestigd op verhaal</w:t>
      </w:r>
      <w:r>
        <w:rPr>
          <w:rFonts w:ascii="Verdana" w:hAnsi="Verdana"/>
        </w:rPr>
        <w:softHyphen/>
      </w:r>
      <w:r w:rsidRPr="00534A7A">
        <w:rPr>
          <w:rFonts w:ascii="Verdana" w:hAnsi="Verdana"/>
        </w:rPr>
        <w:t>bare opdrachten van de geleverde prestaties door de hulpverleningszone Westhoek.</w:t>
      </w:r>
    </w:p>
    <w:p w:rsidR="00A81A3F" w:rsidRDefault="00A81A3F" w:rsidP="00A81A3F">
      <w:pPr>
        <w:pStyle w:val="Lijstalinea"/>
        <w:spacing w:after="0"/>
        <w:ind w:left="425"/>
        <w:contextualSpacing w:val="0"/>
        <w:rPr>
          <w:rFonts w:ascii="Verdana" w:hAnsi="Verdana"/>
          <w:sz w:val="20"/>
          <w:u w:val="single"/>
        </w:rPr>
      </w:pPr>
    </w:p>
    <w:p w:rsidR="00A81A3F" w:rsidRPr="00534A7A" w:rsidRDefault="00A81A3F" w:rsidP="00A81A3F">
      <w:pPr>
        <w:pStyle w:val="Lijstalinea"/>
        <w:numPr>
          <w:ilvl w:val="0"/>
          <w:numId w:val="1"/>
        </w:numPr>
        <w:tabs>
          <w:tab w:val="left" w:pos="851"/>
        </w:tabs>
        <w:spacing w:after="120"/>
        <w:ind w:left="426"/>
        <w:contextualSpacing w:val="0"/>
        <w:rPr>
          <w:rFonts w:ascii="Verdana" w:hAnsi="Verdana"/>
          <w:sz w:val="20"/>
          <w:u w:val="single"/>
        </w:rPr>
      </w:pPr>
      <w:r w:rsidRPr="00534A7A">
        <w:rPr>
          <w:rFonts w:ascii="Verdana" w:hAnsi="Verdana"/>
          <w:sz w:val="20"/>
          <w:u w:val="single"/>
        </w:rPr>
        <w:t>Niet verhaalbare opdrachten</w:t>
      </w:r>
    </w:p>
    <w:p w:rsidR="00A81A3F" w:rsidRDefault="00A81A3F" w:rsidP="00A81A3F">
      <w:pPr>
        <w:ind w:left="425"/>
        <w:rPr>
          <w:rFonts w:ascii="Verdana" w:hAnsi="Verdana"/>
        </w:rPr>
      </w:pPr>
      <w:r>
        <w:rPr>
          <w:rFonts w:ascii="Verdana" w:hAnsi="Verdana"/>
        </w:rPr>
        <w:t>D</w:t>
      </w:r>
      <w:r w:rsidRPr="00534A7A">
        <w:rPr>
          <w:rFonts w:ascii="Verdana" w:hAnsi="Verdana"/>
        </w:rPr>
        <w:t>e volgende opdrachten worden gratis uitgevo</w:t>
      </w:r>
      <w:r>
        <w:rPr>
          <w:rFonts w:ascii="Verdana" w:hAnsi="Verdana"/>
        </w:rPr>
        <w:t>erd door de hulpdiensten</w:t>
      </w:r>
      <w:r w:rsidRPr="00534A7A">
        <w:rPr>
          <w:rFonts w:ascii="Verdana" w:hAnsi="Verdana"/>
        </w:rPr>
        <w:t>:</w:t>
      </w:r>
    </w:p>
    <w:p w:rsidR="00A81A3F" w:rsidRPr="002C3DE5" w:rsidRDefault="00A81A3F" w:rsidP="00A81A3F">
      <w:pPr>
        <w:pStyle w:val="Lijstalinea"/>
        <w:numPr>
          <w:ilvl w:val="0"/>
          <w:numId w:val="2"/>
        </w:numPr>
        <w:spacing w:after="120"/>
        <w:rPr>
          <w:rFonts w:ascii="Verdana" w:hAnsi="Verdana"/>
          <w:sz w:val="20"/>
        </w:rPr>
      </w:pPr>
      <w:r w:rsidRPr="002C3DE5">
        <w:rPr>
          <w:rFonts w:ascii="Verdana" w:hAnsi="Verdana"/>
          <w:sz w:val="20"/>
        </w:rPr>
        <w:t>De interventies betreffende bestrijding van brand en ontploffing voor zover het geen kwaadwillige oproepen betreft;</w:t>
      </w:r>
    </w:p>
    <w:p w:rsidR="00A81A3F" w:rsidRPr="002C3DE5" w:rsidRDefault="00A81A3F" w:rsidP="00A81A3F">
      <w:pPr>
        <w:pStyle w:val="Lijstalinea"/>
        <w:numPr>
          <w:ilvl w:val="0"/>
          <w:numId w:val="2"/>
        </w:numPr>
        <w:spacing w:after="120"/>
        <w:rPr>
          <w:rFonts w:ascii="Verdana" w:hAnsi="Verdana"/>
          <w:sz w:val="20"/>
        </w:rPr>
      </w:pPr>
      <w:r w:rsidRPr="002C3DE5">
        <w:rPr>
          <w:rFonts w:ascii="Verdana" w:hAnsi="Verdana"/>
          <w:sz w:val="20"/>
        </w:rPr>
        <w:t>De technische hulpverleningswerkzaamheden, op voorwaarde dat het gaat om een noodoproep om mensen te beschermen of te redden;</w:t>
      </w:r>
    </w:p>
    <w:p w:rsidR="00A81A3F" w:rsidRPr="002C3DE5" w:rsidRDefault="00A81A3F" w:rsidP="00A81A3F">
      <w:pPr>
        <w:pStyle w:val="Lijstalinea"/>
        <w:numPr>
          <w:ilvl w:val="0"/>
          <w:numId w:val="2"/>
        </w:numPr>
        <w:spacing w:after="120"/>
        <w:rPr>
          <w:rFonts w:ascii="Verdana" w:hAnsi="Verdana"/>
          <w:sz w:val="20"/>
        </w:rPr>
      </w:pPr>
      <w:r w:rsidRPr="002C3DE5">
        <w:rPr>
          <w:rFonts w:ascii="Verdana" w:hAnsi="Verdana"/>
          <w:sz w:val="20"/>
        </w:rPr>
        <w:t>Bestrijding van de rampspoedige gebeurtenissen en catastrofen;</w:t>
      </w:r>
    </w:p>
    <w:p w:rsidR="00A81A3F" w:rsidRPr="002C3DE5" w:rsidRDefault="00A81A3F" w:rsidP="00A81A3F">
      <w:pPr>
        <w:pStyle w:val="Lijstalinea"/>
        <w:numPr>
          <w:ilvl w:val="0"/>
          <w:numId w:val="2"/>
        </w:numPr>
        <w:spacing w:after="120"/>
        <w:rPr>
          <w:rFonts w:ascii="Verdana" w:hAnsi="Verdana"/>
          <w:sz w:val="20"/>
        </w:rPr>
      </w:pPr>
      <w:r w:rsidRPr="002C3DE5">
        <w:rPr>
          <w:rFonts w:ascii="Verdana" w:hAnsi="Verdana"/>
          <w:sz w:val="20"/>
        </w:rPr>
        <w:t>De coördinatie van de hulpverleningsoperaties;</w:t>
      </w:r>
    </w:p>
    <w:p w:rsidR="00A81A3F" w:rsidRPr="002C3DE5" w:rsidRDefault="00A81A3F" w:rsidP="00A81A3F">
      <w:pPr>
        <w:pStyle w:val="Lijstalinea"/>
        <w:numPr>
          <w:ilvl w:val="0"/>
          <w:numId w:val="2"/>
        </w:numPr>
        <w:spacing w:after="120"/>
        <w:rPr>
          <w:rFonts w:ascii="Verdana" w:hAnsi="Verdana"/>
          <w:sz w:val="20"/>
        </w:rPr>
      </w:pPr>
      <w:r w:rsidRPr="002C3DE5">
        <w:rPr>
          <w:rFonts w:ascii="Verdana" w:hAnsi="Verdana"/>
          <w:sz w:val="20"/>
        </w:rPr>
        <w:t>De waarschuwing aan de bevolking;</w:t>
      </w:r>
    </w:p>
    <w:p w:rsidR="00A81A3F" w:rsidRPr="002C3DE5" w:rsidRDefault="00A81A3F" w:rsidP="00A81A3F">
      <w:pPr>
        <w:pStyle w:val="Lijstalinea"/>
        <w:numPr>
          <w:ilvl w:val="0"/>
          <w:numId w:val="2"/>
        </w:numPr>
        <w:spacing w:after="120"/>
        <w:rPr>
          <w:rFonts w:ascii="Verdana" w:hAnsi="Verdana"/>
          <w:sz w:val="20"/>
        </w:rPr>
      </w:pPr>
      <w:r w:rsidRPr="002C3DE5">
        <w:rPr>
          <w:rFonts w:ascii="Verdana" w:hAnsi="Verdana"/>
          <w:sz w:val="20"/>
        </w:rPr>
        <w:t>De interventie naar aanleiding van een loos alarm, met een maximum van 2 binnen de zes maanden;</w:t>
      </w:r>
    </w:p>
    <w:p w:rsidR="00A81A3F" w:rsidRPr="002C3DE5" w:rsidRDefault="00A81A3F" w:rsidP="00A81A3F">
      <w:pPr>
        <w:pStyle w:val="Lijstalinea"/>
        <w:numPr>
          <w:ilvl w:val="0"/>
          <w:numId w:val="2"/>
        </w:numPr>
        <w:spacing w:after="120"/>
        <w:rPr>
          <w:rFonts w:ascii="Verdana" w:hAnsi="Verdana"/>
          <w:sz w:val="20"/>
        </w:rPr>
      </w:pPr>
      <w:r w:rsidRPr="002C3DE5">
        <w:rPr>
          <w:rFonts w:ascii="Verdana" w:hAnsi="Verdana"/>
          <w:sz w:val="20"/>
        </w:rPr>
        <w:t>De internationale opdrachten van de civiele bescherming, uitgezonderd de opdrachten inzake de bestrijding tegen vervuiling;</w:t>
      </w:r>
    </w:p>
    <w:p w:rsidR="00A81A3F" w:rsidRDefault="00A81A3F" w:rsidP="00A81A3F">
      <w:pPr>
        <w:pStyle w:val="Lijstalinea"/>
        <w:numPr>
          <w:ilvl w:val="0"/>
          <w:numId w:val="2"/>
        </w:numPr>
        <w:spacing w:after="120"/>
        <w:rPr>
          <w:rFonts w:ascii="Verdana" w:hAnsi="Verdana"/>
          <w:sz w:val="20"/>
        </w:rPr>
      </w:pPr>
      <w:r w:rsidRPr="002C3DE5">
        <w:rPr>
          <w:rFonts w:ascii="Verdana" w:hAnsi="Verdana"/>
          <w:sz w:val="20"/>
        </w:rPr>
        <w:t xml:space="preserve">De drinkwaterbevoorrading rechtstreeks aan de burger, in geval van een vrij ernstig watertekort of van een watertekort </w:t>
      </w:r>
      <w:r>
        <w:rPr>
          <w:rFonts w:ascii="Verdana" w:hAnsi="Verdana"/>
          <w:sz w:val="20"/>
        </w:rPr>
        <w:t>dat een omvangrijk gebied treft;</w:t>
      </w:r>
    </w:p>
    <w:p w:rsidR="00A81A3F" w:rsidRDefault="00A81A3F" w:rsidP="00A81A3F">
      <w:pPr>
        <w:pStyle w:val="Lijstalinea"/>
        <w:numPr>
          <w:ilvl w:val="0"/>
          <w:numId w:val="2"/>
        </w:numPr>
        <w:spacing w:after="120"/>
        <w:rPr>
          <w:rFonts w:ascii="Verdana" w:hAnsi="Verdana"/>
          <w:sz w:val="20"/>
        </w:rPr>
      </w:pPr>
      <w:r>
        <w:rPr>
          <w:rFonts w:ascii="Verdana" w:hAnsi="Verdana"/>
          <w:sz w:val="20"/>
        </w:rPr>
        <w:t>Rampspoedige gebeurtenissen: onder meer een cycloon, een orkaan, een vloed</w:t>
      </w:r>
      <w:r>
        <w:rPr>
          <w:rFonts w:ascii="Verdana" w:hAnsi="Verdana"/>
          <w:sz w:val="20"/>
        </w:rPr>
        <w:softHyphen/>
        <w:t>golf, een aardbeving alsmede een vrij zware overstroming of een vrij ernstig watertekort, welke een omvangrijk gebied treffen;</w:t>
      </w:r>
    </w:p>
    <w:p w:rsidR="00A81A3F" w:rsidRDefault="00A81A3F" w:rsidP="00A81A3F">
      <w:pPr>
        <w:pStyle w:val="Lijstalinea"/>
        <w:numPr>
          <w:ilvl w:val="0"/>
          <w:numId w:val="2"/>
        </w:numPr>
        <w:spacing w:after="120"/>
        <w:rPr>
          <w:rFonts w:ascii="Verdana" w:hAnsi="Verdana"/>
          <w:sz w:val="20"/>
        </w:rPr>
      </w:pPr>
      <w:r>
        <w:rPr>
          <w:rFonts w:ascii="Verdana" w:hAnsi="Verdana"/>
          <w:sz w:val="20"/>
        </w:rPr>
        <w:t>Catastrofen: onder meer een spoorwegongeval, het neerstorten van een lucht</w:t>
      </w:r>
      <w:r>
        <w:rPr>
          <w:rFonts w:ascii="Verdana" w:hAnsi="Verdana"/>
          <w:sz w:val="20"/>
        </w:rPr>
        <w:softHyphen/>
        <w:t>vaartuig, een dijkbreuk, alsmede een toevallige vrij ernstige besmetting of ver</w:t>
      </w:r>
      <w:r>
        <w:rPr>
          <w:rFonts w:ascii="Verdana" w:hAnsi="Verdana"/>
          <w:sz w:val="20"/>
        </w:rPr>
        <w:softHyphen/>
        <w:t>vuiling, welke een omvangrijk gebied treffen, en in het algemeen alle ongevallen die het verlies van veel mensenlevens of aanzienlijke materiële schade veroor</w:t>
      </w:r>
      <w:r>
        <w:rPr>
          <w:rFonts w:ascii="Verdana" w:hAnsi="Verdana"/>
          <w:sz w:val="20"/>
        </w:rPr>
        <w:softHyphen/>
        <w:t>zaken of kunnen veroorzaken;</w:t>
      </w:r>
    </w:p>
    <w:p w:rsidR="00A81A3F" w:rsidRDefault="00A81A3F" w:rsidP="00A81A3F">
      <w:pPr>
        <w:pStyle w:val="Lijstalinea"/>
        <w:numPr>
          <w:ilvl w:val="0"/>
          <w:numId w:val="2"/>
        </w:numPr>
        <w:spacing w:after="120"/>
        <w:rPr>
          <w:rFonts w:ascii="Verdana" w:hAnsi="Verdana"/>
          <w:sz w:val="20"/>
        </w:rPr>
      </w:pPr>
      <w:r>
        <w:rPr>
          <w:rFonts w:ascii="Verdana" w:hAnsi="Verdana"/>
          <w:sz w:val="20"/>
        </w:rPr>
        <w:t>Schadegevallen: onder meer een brand, een ontploffing, een instorting, een grondverzakking of –verschuiving, een breuk in een leiding of in een reservoir, als mede een verkeersongeval dat het inzetten van speciale middelen noodzake</w:t>
      </w:r>
      <w:r>
        <w:rPr>
          <w:rFonts w:ascii="Verdana" w:hAnsi="Verdana"/>
          <w:sz w:val="20"/>
        </w:rPr>
        <w:softHyphen/>
        <w:t>lijk maakt.</w:t>
      </w:r>
    </w:p>
    <w:p w:rsidR="00A81A3F" w:rsidRPr="002C3DE5" w:rsidRDefault="00A81A3F" w:rsidP="00A81A3F">
      <w:pPr>
        <w:pStyle w:val="Lijstalinea"/>
        <w:spacing w:after="120"/>
        <w:ind w:left="1145"/>
        <w:rPr>
          <w:rFonts w:ascii="Verdana" w:hAnsi="Verdana"/>
          <w:sz w:val="20"/>
        </w:rPr>
      </w:pP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Pr>
          <w:rFonts w:ascii="Verdana" w:hAnsi="Verdana"/>
          <w:sz w:val="20"/>
          <w:u w:val="single"/>
        </w:rPr>
        <w:t xml:space="preserve">Definities </w:t>
      </w:r>
    </w:p>
    <w:p w:rsidR="00A81A3F" w:rsidRDefault="00A81A3F" w:rsidP="00A81A3F">
      <w:pPr>
        <w:ind w:left="425"/>
        <w:rPr>
          <w:rFonts w:ascii="Verdana" w:hAnsi="Verdana"/>
        </w:rPr>
      </w:pPr>
      <w:r>
        <w:rPr>
          <w:rFonts w:ascii="Verdana" w:hAnsi="Verdana"/>
        </w:rPr>
        <w:t xml:space="preserve">In dit reglement hebben de onderstaande termen de volgende betekenis. </w:t>
      </w:r>
    </w:p>
    <w:p w:rsidR="00A81A3F" w:rsidRPr="009A62CF" w:rsidRDefault="00A81A3F" w:rsidP="00A81A3F">
      <w:pPr>
        <w:pStyle w:val="Lijstalinea"/>
        <w:numPr>
          <w:ilvl w:val="0"/>
          <w:numId w:val="3"/>
        </w:numPr>
        <w:spacing w:after="120"/>
        <w:rPr>
          <w:rFonts w:ascii="Verdana" w:hAnsi="Verdana"/>
          <w:sz w:val="20"/>
        </w:rPr>
      </w:pPr>
      <w:r w:rsidRPr="009A62CF">
        <w:rPr>
          <w:rFonts w:ascii="Verdana" w:hAnsi="Verdana"/>
          <w:sz w:val="20"/>
        </w:rPr>
        <w:t>Dringend vervoer per ziekenwagen:</w:t>
      </w:r>
      <w:r w:rsidRPr="009A62CF">
        <w:rPr>
          <w:rFonts w:ascii="Verdana" w:hAnsi="Verdana"/>
          <w:sz w:val="20"/>
        </w:rPr>
        <w:br/>
        <w:t xml:space="preserve">Het vervoer per ziekenwagen via een oproep van het eenvormig oproepstelsel in </w:t>
      </w:r>
      <w:r>
        <w:rPr>
          <w:rFonts w:ascii="Verdana" w:hAnsi="Verdana"/>
          <w:sz w:val="20"/>
        </w:rPr>
        <w:t xml:space="preserve">het </w:t>
      </w:r>
      <w:r w:rsidRPr="009A62CF">
        <w:rPr>
          <w:rFonts w:ascii="Verdana" w:hAnsi="Verdana"/>
          <w:sz w:val="20"/>
        </w:rPr>
        <w:t xml:space="preserve">kader van dringende geneeskundige hulpverlening zoals bepaald in de wet van 8 juli 1964 betreffende de dringende geneeskundige hulpverlening en haar uitvoeringsbesluiten. </w:t>
      </w:r>
    </w:p>
    <w:p w:rsidR="00A81A3F" w:rsidRPr="009A62CF" w:rsidRDefault="00A81A3F" w:rsidP="00A81A3F">
      <w:pPr>
        <w:pStyle w:val="Lijstalinea"/>
        <w:numPr>
          <w:ilvl w:val="0"/>
          <w:numId w:val="3"/>
        </w:numPr>
        <w:spacing w:after="120"/>
        <w:rPr>
          <w:rFonts w:ascii="Verdana" w:hAnsi="Verdana"/>
          <w:sz w:val="20"/>
        </w:rPr>
      </w:pPr>
      <w:r w:rsidRPr="009A62CF">
        <w:rPr>
          <w:rFonts w:ascii="Verdana" w:hAnsi="Verdana"/>
          <w:sz w:val="20"/>
        </w:rPr>
        <w:t>Normaal tarief:</w:t>
      </w:r>
      <w:r w:rsidRPr="009A62CF">
        <w:rPr>
          <w:rFonts w:ascii="Verdana" w:hAnsi="Verdana"/>
          <w:sz w:val="20"/>
        </w:rPr>
        <w:br/>
        <w:t xml:space="preserve">Het tarief dat geldt voor de uren gepresteerd tijdens de weekdagen tussen 06.00 en 22.00 u. </w:t>
      </w:r>
    </w:p>
    <w:p w:rsidR="00A81A3F" w:rsidRPr="009A62CF" w:rsidRDefault="00A81A3F" w:rsidP="00A81A3F">
      <w:pPr>
        <w:pStyle w:val="Lijstalinea"/>
        <w:numPr>
          <w:ilvl w:val="0"/>
          <w:numId w:val="3"/>
        </w:numPr>
        <w:spacing w:after="120"/>
        <w:rPr>
          <w:rFonts w:ascii="Verdana" w:hAnsi="Verdana"/>
          <w:sz w:val="20"/>
        </w:rPr>
      </w:pPr>
      <w:r w:rsidRPr="009A62CF">
        <w:rPr>
          <w:rFonts w:ascii="Verdana" w:hAnsi="Verdana"/>
          <w:sz w:val="20"/>
        </w:rPr>
        <w:t>Nacht- en zaterdagtarief:</w:t>
      </w:r>
      <w:r w:rsidRPr="009A62CF">
        <w:rPr>
          <w:rFonts w:ascii="Verdana" w:hAnsi="Verdana"/>
          <w:sz w:val="20"/>
        </w:rPr>
        <w:br/>
        <w:t xml:space="preserve">Het tarief dat geldt voor de uren gepresteerd tijdens de weekdagen tussen 22.00 en 06.00 u en op zaterdagen. </w:t>
      </w:r>
    </w:p>
    <w:p w:rsidR="00A81A3F" w:rsidRPr="009A62CF" w:rsidRDefault="00A81A3F" w:rsidP="00A81A3F">
      <w:pPr>
        <w:pStyle w:val="Lijstalinea"/>
        <w:numPr>
          <w:ilvl w:val="0"/>
          <w:numId w:val="3"/>
        </w:numPr>
        <w:spacing w:after="120"/>
        <w:rPr>
          <w:rFonts w:ascii="Verdana" w:hAnsi="Verdana"/>
          <w:sz w:val="20"/>
        </w:rPr>
      </w:pPr>
      <w:r w:rsidRPr="009A62CF">
        <w:rPr>
          <w:rFonts w:ascii="Verdana" w:hAnsi="Verdana"/>
          <w:sz w:val="20"/>
        </w:rPr>
        <w:lastRenderedPageBreak/>
        <w:t>Zon- en feestdagtarief:</w:t>
      </w:r>
      <w:r w:rsidRPr="009A62CF">
        <w:rPr>
          <w:rFonts w:ascii="Verdana" w:hAnsi="Verdana"/>
          <w:sz w:val="20"/>
        </w:rPr>
        <w:br/>
        <w:t xml:space="preserve">Het tarief dat geldt voor de uren gepresteerd op zondag- en feestdagen. </w:t>
      </w:r>
    </w:p>
    <w:p w:rsidR="00A81A3F" w:rsidRDefault="00A81A3F" w:rsidP="00A81A3F">
      <w:pPr>
        <w:pStyle w:val="Lijstalinea"/>
        <w:numPr>
          <w:ilvl w:val="0"/>
          <w:numId w:val="3"/>
        </w:numPr>
        <w:spacing w:after="120"/>
        <w:rPr>
          <w:rFonts w:ascii="Verdana" w:hAnsi="Verdana"/>
          <w:sz w:val="20"/>
        </w:rPr>
      </w:pPr>
      <w:r>
        <w:rPr>
          <w:rFonts w:ascii="Verdana" w:hAnsi="Verdana"/>
          <w:sz w:val="20"/>
        </w:rPr>
        <w:t>Begunstigde:</w:t>
      </w:r>
      <w:r>
        <w:rPr>
          <w:rFonts w:ascii="Verdana" w:hAnsi="Verdana"/>
          <w:sz w:val="20"/>
        </w:rPr>
        <w:br/>
        <w:t>De f</w:t>
      </w:r>
      <w:r w:rsidRPr="009A62CF">
        <w:rPr>
          <w:rFonts w:ascii="Verdana" w:hAnsi="Verdana"/>
          <w:sz w:val="20"/>
        </w:rPr>
        <w:t>ysieke persoon of de rechtspersoon in wiens belang de interventie of pres</w:t>
      </w:r>
      <w:r>
        <w:rPr>
          <w:rFonts w:ascii="Verdana" w:hAnsi="Verdana"/>
          <w:sz w:val="20"/>
        </w:rPr>
        <w:softHyphen/>
      </w:r>
      <w:r w:rsidRPr="009A62CF">
        <w:rPr>
          <w:rFonts w:ascii="Verdana" w:hAnsi="Verdana"/>
          <w:sz w:val="20"/>
        </w:rPr>
        <w:t xml:space="preserve">tatie uitgevoerd wordt, zoals omschreven in artikel 1§1 van het koninklijke besluit van 25 april 2007 tot vaststelling van de opdrachten van de hulpdiensten die kunnen verhaald worden en diegene die gratis zijn. </w:t>
      </w:r>
    </w:p>
    <w:p w:rsidR="00A81A3F" w:rsidRPr="009A62CF" w:rsidRDefault="00A81A3F" w:rsidP="00A81A3F">
      <w:pPr>
        <w:pStyle w:val="Lijstalinea"/>
        <w:spacing w:after="120"/>
        <w:ind w:left="1145"/>
        <w:rPr>
          <w:rFonts w:ascii="Verdana" w:hAnsi="Verdana"/>
          <w:sz w:val="20"/>
        </w:rPr>
      </w:pPr>
    </w:p>
    <w:p w:rsidR="00A81A3F" w:rsidRPr="002D038B" w:rsidRDefault="00A81A3F" w:rsidP="00A81A3F">
      <w:pPr>
        <w:pStyle w:val="Lijstalinea"/>
        <w:keepNext/>
        <w:keepLines/>
        <w:numPr>
          <w:ilvl w:val="0"/>
          <w:numId w:val="1"/>
        </w:numPr>
        <w:tabs>
          <w:tab w:val="left" w:pos="851"/>
        </w:tabs>
        <w:spacing w:after="120"/>
        <w:ind w:left="425" w:hanging="357"/>
        <w:contextualSpacing w:val="0"/>
        <w:rPr>
          <w:rFonts w:ascii="Verdana" w:hAnsi="Verdana"/>
          <w:sz w:val="20"/>
          <w:u w:val="single"/>
        </w:rPr>
      </w:pPr>
      <w:r>
        <w:rPr>
          <w:rFonts w:ascii="Verdana" w:hAnsi="Verdana"/>
          <w:sz w:val="20"/>
          <w:u w:val="single"/>
        </w:rPr>
        <w:t>Tarieven voor interventies, andere dan vermeld in art. 2</w:t>
      </w:r>
    </w:p>
    <w:p w:rsidR="00A81A3F" w:rsidRPr="00F85D0F" w:rsidRDefault="00A81A3F" w:rsidP="00A81A3F">
      <w:pPr>
        <w:spacing w:after="120"/>
        <w:ind w:left="425"/>
        <w:rPr>
          <w:rFonts w:ascii="Verdana" w:hAnsi="Verdana"/>
        </w:rPr>
      </w:pPr>
      <w:r>
        <w:rPr>
          <w:rFonts w:ascii="Verdana" w:hAnsi="Verdana"/>
        </w:rPr>
        <w:t xml:space="preserve">§1. De prestaties worden aangerekend voor de duur gelijk aan de tijd verlopen tussen het vertrek uit de kazerne en de terugkeer in de kazerne, met uitzondering van de brandpreventieopdrachten en brandpreventie evenementen. </w:t>
      </w:r>
    </w:p>
    <w:p w:rsidR="00A81A3F" w:rsidRPr="00707988" w:rsidRDefault="00A81A3F" w:rsidP="00A81A3F">
      <w:pPr>
        <w:spacing w:after="120"/>
        <w:ind w:left="425"/>
        <w:rPr>
          <w:rFonts w:ascii="Verdana" w:hAnsi="Verdana"/>
        </w:rPr>
      </w:pPr>
      <w:r w:rsidRPr="00707988">
        <w:rPr>
          <w:rFonts w:ascii="Verdana" w:hAnsi="Verdana"/>
        </w:rPr>
        <w:t xml:space="preserve">§2. Elk begonnen uur wordt als een volledig uur beschouwd. </w:t>
      </w:r>
    </w:p>
    <w:p w:rsidR="00A81A3F" w:rsidRPr="00707988" w:rsidRDefault="00A81A3F" w:rsidP="00A81A3F">
      <w:pPr>
        <w:spacing w:after="120"/>
        <w:ind w:left="425"/>
        <w:rPr>
          <w:rFonts w:ascii="Verdana" w:hAnsi="Verdana"/>
        </w:rPr>
      </w:pPr>
      <w:r w:rsidRPr="00707988">
        <w:rPr>
          <w:rFonts w:ascii="Verdana" w:hAnsi="Verdana"/>
        </w:rPr>
        <w:t xml:space="preserve">§3. Voor elke prestatie wordt minimaal 2 uren aangerekend. </w:t>
      </w:r>
    </w:p>
    <w:p w:rsidR="00A81A3F" w:rsidRPr="00707988" w:rsidRDefault="00A81A3F" w:rsidP="00A81A3F">
      <w:pPr>
        <w:spacing w:after="120"/>
        <w:ind w:left="425"/>
        <w:rPr>
          <w:rFonts w:ascii="Verdana" w:hAnsi="Verdana"/>
        </w:rPr>
      </w:pPr>
      <w:r w:rsidRPr="00707988">
        <w:rPr>
          <w:rFonts w:ascii="Verdana" w:hAnsi="Verdana"/>
        </w:rPr>
        <w:t xml:space="preserve">§4. De prestaties van het personeel worden per persoon en per uur aangerekend op basis van volgende uurvergoedingen: </w:t>
      </w:r>
    </w:p>
    <w:tbl>
      <w:tblPr>
        <w:tblStyle w:val="Tabelraster"/>
        <w:tblW w:w="0" w:type="auto"/>
        <w:tblInd w:w="651" w:type="dxa"/>
        <w:tblLook w:val="04A0" w:firstRow="1" w:lastRow="0" w:firstColumn="1" w:lastColumn="0" w:noHBand="0" w:noVBand="1"/>
      </w:tblPr>
      <w:tblGrid>
        <w:gridCol w:w="3554"/>
        <w:gridCol w:w="1530"/>
        <w:gridCol w:w="1533"/>
        <w:gridCol w:w="1912"/>
      </w:tblGrid>
      <w:tr w:rsidR="00A81A3F" w:rsidTr="00D63618">
        <w:trPr>
          <w:trHeight w:val="855"/>
        </w:trPr>
        <w:tc>
          <w:tcPr>
            <w:tcW w:w="3554" w:type="dxa"/>
            <w:shd w:val="clear" w:color="auto" w:fill="FF0000"/>
          </w:tcPr>
          <w:p w:rsidR="00A81A3F" w:rsidRDefault="00A81A3F" w:rsidP="00D63618">
            <w:pPr>
              <w:spacing w:before="240"/>
              <w:rPr>
                <w:rFonts w:ascii="Verdana" w:hAnsi="Verdana"/>
              </w:rPr>
            </w:pPr>
          </w:p>
        </w:tc>
        <w:tc>
          <w:tcPr>
            <w:tcW w:w="1530" w:type="dxa"/>
            <w:shd w:val="clear" w:color="auto" w:fill="FF0000"/>
          </w:tcPr>
          <w:p w:rsidR="00A81A3F" w:rsidRDefault="00A81A3F" w:rsidP="00D63618">
            <w:pPr>
              <w:spacing w:before="120"/>
              <w:jc w:val="center"/>
              <w:rPr>
                <w:rFonts w:ascii="Verdana" w:hAnsi="Verdana"/>
              </w:rPr>
            </w:pPr>
            <w:r>
              <w:rPr>
                <w:rFonts w:ascii="Verdana" w:hAnsi="Verdana"/>
              </w:rPr>
              <w:t>Normaal Tarief</w:t>
            </w:r>
          </w:p>
        </w:tc>
        <w:tc>
          <w:tcPr>
            <w:tcW w:w="1533" w:type="dxa"/>
            <w:shd w:val="clear" w:color="auto" w:fill="FF0000"/>
          </w:tcPr>
          <w:p w:rsidR="00A81A3F" w:rsidRDefault="00A81A3F" w:rsidP="00D63618">
            <w:pPr>
              <w:spacing w:before="120"/>
              <w:jc w:val="center"/>
              <w:rPr>
                <w:rFonts w:ascii="Verdana" w:hAnsi="Verdana"/>
              </w:rPr>
            </w:pPr>
            <w:r>
              <w:rPr>
                <w:rFonts w:ascii="Verdana" w:hAnsi="Verdana"/>
              </w:rPr>
              <w:t>Zaterdag-tarief</w:t>
            </w:r>
          </w:p>
        </w:tc>
        <w:tc>
          <w:tcPr>
            <w:tcW w:w="1912" w:type="dxa"/>
            <w:shd w:val="clear" w:color="auto" w:fill="FF0000"/>
          </w:tcPr>
          <w:p w:rsidR="00A81A3F" w:rsidRDefault="00A81A3F" w:rsidP="00D63618">
            <w:pPr>
              <w:spacing w:before="120"/>
              <w:jc w:val="center"/>
              <w:rPr>
                <w:rFonts w:ascii="Verdana" w:hAnsi="Verdana"/>
              </w:rPr>
            </w:pPr>
            <w:r>
              <w:rPr>
                <w:rFonts w:ascii="Verdana" w:hAnsi="Verdana"/>
              </w:rPr>
              <w:t>Zon-en feestdagtarief</w:t>
            </w:r>
          </w:p>
          <w:p w:rsidR="00A81A3F" w:rsidRDefault="00A81A3F" w:rsidP="00D63618">
            <w:pPr>
              <w:spacing w:before="120"/>
              <w:jc w:val="center"/>
              <w:rPr>
                <w:rFonts w:ascii="Verdana" w:hAnsi="Verdana"/>
              </w:rPr>
            </w:pPr>
          </w:p>
        </w:tc>
      </w:tr>
      <w:tr w:rsidR="00A81A3F" w:rsidTr="00D63618">
        <w:trPr>
          <w:trHeight w:val="855"/>
        </w:trPr>
        <w:tc>
          <w:tcPr>
            <w:tcW w:w="3554" w:type="dxa"/>
            <w:shd w:val="clear" w:color="auto" w:fill="auto"/>
          </w:tcPr>
          <w:p w:rsidR="00A81A3F" w:rsidRDefault="00A81A3F" w:rsidP="00D63618">
            <w:pPr>
              <w:jc w:val="center"/>
              <w:rPr>
                <w:rFonts w:ascii="Verdana" w:hAnsi="Verdana"/>
              </w:rPr>
            </w:pPr>
            <w:r>
              <w:rPr>
                <w:rFonts w:ascii="Verdana" w:hAnsi="Verdana"/>
              </w:rPr>
              <w:t>Basis- en middenkader</w:t>
            </w:r>
          </w:p>
          <w:p w:rsidR="00A81A3F" w:rsidRDefault="00A81A3F" w:rsidP="00D63618">
            <w:pPr>
              <w:jc w:val="center"/>
              <w:rPr>
                <w:rFonts w:ascii="Verdana" w:hAnsi="Verdana"/>
              </w:rPr>
            </w:pPr>
            <w:r>
              <w:rPr>
                <w:rFonts w:ascii="Verdana" w:hAnsi="Verdana"/>
              </w:rPr>
              <w:t>( brandweerman, korporaal, sergeant, adjudant)</w:t>
            </w:r>
          </w:p>
        </w:tc>
        <w:tc>
          <w:tcPr>
            <w:tcW w:w="1530" w:type="dxa"/>
            <w:shd w:val="clear" w:color="auto" w:fill="auto"/>
          </w:tcPr>
          <w:p w:rsidR="00A81A3F" w:rsidRDefault="00A81A3F" w:rsidP="00D63618">
            <w:pPr>
              <w:spacing w:before="120"/>
              <w:jc w:val="center"/>
              <w:rPr>
                <w:rFonts w:ascii="Verdana" w:hAnsi="Verdana"/>
              </w:rPr>
            </w:pPr>
            <w:r>
              <w:rPr>
                <w:rFonts w:ascii="Verdana" w:hAnsi="Verdana"/>
              </w:rPr>
              <w:t>€ 36,00/u</w:t>
            </w:r>
          </w:p>
        </w:tc>
        <w:tc>
          <w:tcPr>
            <w:tcW w:w="1533" w:type="dxa"/>
            <w:shd w:val="clear" w:color="auto" w:fill="auto"/>
          </w:tcPr>
          <w:p w:rsidR="00A81A3F" w:rsidRDefault="00A81A3F" w:rsidP="00D63618">
            <w:pPr>
              <w:spacing w:before="120"/>
              <w:jc w:val="center"/>
              <w:rPr>
                <w:rFonts w:ascii="Verdana" w:hAnsi="Verdana"/>
              </w:rPr>
            </w:pPr>
            <w:r>
              <w:rPr>
                <w:rFonts w:ascii="Verdana" w:hAnsi="Verdana"/>
              </w:rPr>
              <w:t>€ 45,00/u</w:t>
            </w:r>
          </w:p>
        </w:tc>
        <w:tc>
          <w:tcPr>
            <w:tcW w:w="1912" w:type="dxa"/>
            <w:shd w:val="clear" w:color="auto" w:fill="auto"/>
          </w:tcPr>
          <w:p w:rsidR="00A81A3F" w:rsidRDefault="00A81A3F" w:rsidP="00D63618">
            <w:pPr>
              <w:spacing w:before="120"/>
              <w:jc w:val="center"/>
              <w:rPr>
                <w:rFonts w:ascii="Verdana" w:hAnsi="Verdana"/>
              </w:rPr>
            </w:pPr>
            <w:r>
              <w:rPr>
                <w:rFonts w:ascii="Verdana" w:hAnsi="Verdana"/>
              </w:rPr>
              <w:t>€ 72,00/u</w:t>
            </w:r>
          </w:p>
        </w:tc>
      </w:tr>
      <w:tr w:rsidR="00A81A3F" w:rsidTr="00D63618">
        <w:trPr>
          <w:trHeight w:val="855"/>
        </w:trPr>
        <w:tc>
          <w:tcPr>
            <w:tcW w:w="3554" w:type="dxa"/>
            <w:shd w:val="clear" w:color="auto" w:fill="auto"/>
          </w:tcPr>
          <w:p w:rsidR="00A81A3F" w:rsidRDefault="00A81A3F" w:rsidP="00D63618">
            <w:pPr>
              <w:jc w:val="center"/>
              <w:rPr>
                <w:rFonts w:ascii="Verdana" w:hAnsi="Verdana"/>
              </w:rPr>
            </w:pPr>
            <w:r>
              <w:rPr>
                <w:rFonts w:ascii="Verdana" w:hAnsi="Verdana"/>
              </w:rPr>
              <w:t>Hoger kader</w:t>
            </w:r>
          </w:p>
          <w:p w:rsidR="00A81A3F" w:rsidRDefault="00A81A3F" w:rsidP="00D63618">
            <w:pPr>
              <w:jc w:val="center"/>
              <w:rPr>
                <w:rFonts w:ascii="Verdana" w:hAnsi="Verdana"/>
              </w:rPr>
            </w:pPr>
            <w:r>
              <w:rPr>
                <w:rFonts w:ascii="Verdana" w:hAnsi="Verdana"/>
              </w:rPr>
              <w:t>(Luitenant, kapitein, majoor, kolonel)</w:t>
            </w:r>
          </w:p>
        </w:tc>
        <w:tc>
          <w:tcPr>
            <w:tcW w:w="1530" w:type="dxa"/>
            <w:shd w:val="clear" w:color="auto" w:fill="auto"/>
          </w:tcPr>
          <w:p w:rsidR="00A81A3F" w:rsidRDefault="00A81A3F" w:rsidP="00D63618">
            <w:pPr>
              <w:spacing w:before="120"/>
              <w:jc w:val="center"/>
              <w:rPr>
                <w:rFonts w:ascii="Verdana" w:hAnsi="Verdana"/>
              </w:rPr>
            </w:pPr>
            <w:r>
              <w:rPr>
                <w:rFonts w:ascii="Verdana" w:hAnsi="Verdana"/>
              </w:rPr>
              <w:t>€ 48,00/u</w:t>
            </w:r>
          </w:p>
        </w:tc>
        <w:tc>
          <w:tcPr>
            <w:tcW w:w="1533" w:type="dxa"/>
            <w:shd w:val="clear" w:color="auto" w:fill="auto"/>
          </w:tcPr>
          <w:p w:rsidR="00A81A3F" w:rsidRDefault="00A81A3F" w:rsidP="00D63618">
            <w:pPr>
              <w:spacing w:before="120"/>
              <w:jc w:val="center"/>
              <w:rPr>
                <w:rFonts w:ascii="Verdana" w:hAnsi="Verdana"/>
              </w:rPr>
            </w:pPr>
            <w:r>
              <w:rPr>
                <w:rFonts w:ascii="Verdana" w:hAnsi="Verdana"/>
              </w:rPr>
              <w:t>€ 60,00/u</w:t>
            </w:r>
          </w:p>
        </w:tc>
        <w:tc>
          <w:tcPr>
            <w:tcW w:w="1912" w:type="dxa"/>
            <w:shd w:val="clear" w:color="auto" w:fill="auto"/>
          </w:tcPr>
          <w:p w:rsidR="00A81A3F" w:rsidRDefault="00A81A3F" w:rsidP="00D63618">
            <w:pPr>
              <w:spacing w:before="120"/>
              <w:jc w:val="center"/>
              <w:rPr>
                <w:rFonts w:ascii="Verdana" w:hAnsi="Verdana"/>
              </w:rPr>
            </w:pPr>
            <w:r>
              <w:rPr>
                <w:rFonts w:ascii="Verdana" w:hAnsi="Verdana"/>
              </w:rPr>
              <w:t>€ 96,00/u</w:t>
            </w:r>
          </w:p>
        </w:tc>
      </w:tr>
    </w:tbl>
    <w:p w:rsidR="00A81A3F" w:rsidRPr="00EC3736" w:rsidRDefault="00A81A3F" w:rsidP="00A81A3F">
      <w:pPr>
        <w:ind w:left="1412"/>
        <w:rPr>
          <w:rFonts w:ascii="Verdana" w:hAnsi="Verdana"/>
        </w:rPr>
      </w:pPr>
    </w:p>
    <w:p w:rsidR="00A81A3F" w:rsidRDefault="00A81A3F" w:rsidP="00A81A3F">
      <w:pPr>
        <w:spacing w:after="120"/>
        <w:ind w:left="425"/>
        <w:rPr>
          <w:rFonts w:ascii="Verdana" w:hAnsi="Verdana"/>
        </w:rPr>
      </w:pPr>
      <w:r>
        <w:rPr>
          <w:rFonts w:ascii="Verdana" w:hAnsi="Verdana"/>
        </w:rPr>
        <w:t xml:space="preserve">§5. Het gebruik en de inzet van onderstaand materieel wordt aangerekend aan volgende forfaitaire vergoedingen gedurende maximaal 2 uren. Interventies langer dan 2 uren worden aangerekend aan onderstaande uurtarieven, per begonnen uur: </w:t>
      </w:r>
    </w:p>
    <w:tbl>
      <w:tblPr>
        <w:tblpPr w:leftFromText="141" w:rightFromText="141" w:vertAnchor="text" w:horzAnchor="page" w:tblpX="1873" w:tblpY="47"/>
        <w:tblW w:w="8910" w:type="dxa"/>
        <w:tblBorders>
          <w:top w:val="nil"/>
          <w:left w:val="nil"/>
          <w:bottom w:val="nil"/>
          <w:right w:val="nil"/>
        </w:tblBorders>
        <w:tblLayout w:type="fixed"/>
        <w:tblLook w:val="0000" w:firstRow="0" w:lastRow="0" w:firstColumn="0" w:lastColumn="0" w:noHBand="0" w:noVBand="0"/>
      </w:tblPr>
      <w:tblGrid>
        <w:gridCol w:w="2970"/>
        <w:gridCol w:w="2970"/>
        <w:gridCol w:w="2970"/>
      </w:tblGrid>
      <w:tr w:rsidR="00A81A3F" w:rsidRPr="009747A0" w:rsidTr="00D63618">
        <w:trPr>
          <w:trHeight w:val="331"/>
        </w:trPr>
        <w:tc>
          <w:tcPr>
            <w:tcW w:w="2970" w:type="dxa"/>
            <w:tcBorders>
              <w:top w:val="single" w:sz="4" w:space="0" w:color="auto"/>
              <w:left w:val="single" w:sz="4" w:space="0" w:color="auto"/>
              <w:bottom w:val="single" w:sz="4" w:space="0" w:color="auto"/>
              <w:right w:val="single" w:sz="4" w:space="0" w:color="auto"/>
            </w:tcBorders>
            <w:shd w:val="clear" w:color="auto" w:fill="FF0000"/>
          </w:tcPr>
          <w:p w:rsidR="00A81A3F" w:rsidRPr="009747A0" w:rsidRDefault="00A81A3F" w:rsidP="00D63618">
            <w:pPr>
              <w:autoSpaceDE w:val="0"/>
              <w:autoSpaceDN w:val="0"/>
              <w:adjustRightInd w:val="0"/>
              <w:rPr>
                <w:rFonts w:ascii="Verdana" w:hAnsi="Verdana" w:cs="Verdana"/>
                <w:color w:val="000000"/>
              </w:rPr>
            </w:pPr>
            <w:r w:rsidRPr="009747A0">
              <w:rPr>
                <w:rFonts w:ascii="Verdana" w:hAnsi="Verdana" w:cs="Verdana"/>
                <w:color w:val="000000"/>
              </w:rPr>
              <w:t xml:space="preserve">Omschrijving </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A81A3F" w:rsidRPr="009747A0" w:rsidRDefault="00A81A3F" w:rsidP="00D63618">
            <w:pPr>
              <w:autoSpaceDE w:val="0"/>
              <w:autoSpaceDN w:val="0"/>
              <w:adjustRightInd w:val="0"/>
              <w:rPr>
                <w:rFonts w:ascii="Verdana" w:hAnsi="Verdana" w:cs="Verdana"/>
                <w:color w:val="000000"/>
              </w:rPr>
            </w:pPr>
            <w:r w:rsidRPr="009747A0">
              <w:rPr>
                <w:rFonts w:ascii="Verdana" w:hAnsi="Verdana" w:cs="Verdana"/>
                <w:color w:val="000000"/>
              </w:rPr>
              <w:t xml:space="preserve">Forfaitaire vergoeding voor max 2 uur </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rsidR="00A81A3F" w:rsidRPr="009747A0" w:rsidRDefault="00A81A3F" w:rsidP="00D63618">
            <w:pPr>
              <w:autoSpaceDE w:val="0"/>
              <w:autoSpaceDN w:val="0"/>
              <w:adjustRightInd w:val="0"/>
              <w:rPr>
                <w:rFonts w:ascii="Verdana" w:hAnsi="Verdana" w:cs="Verdana"/>
                <w:color w:val="000000"/>
              </w:rPr>
            </w:pPr>
            <w:r w:rsidRPr="009747A0">
              <w:rPr>
                <w:rFonts w:ascii="Verdana" w:hAnsi="Verdana" w:cs="Verdana"/>
                <w:color w:val="000000"/>
              </w:rPr>
              <w:t>Vergoeding per uur, vanaf 3</w:t>
            </w:r>
            <w:r w:rsidRPr="009747A0">
              <w:rPr>
                <w:rFonts w:ascii="Verdana" w:hAnsi="Verdana" w:cs="Verdana"/>
                <w:color w:val="000000"/>
                <w:sz w:val="13"/>
                <w:szCs w:val="13"/>
              </w:rPr>
              <w:t xml:space="preserve">de </w:t>
            </w:r>
            <w:r w:rsidRPr="009747A0">
              <w:rPr>
                <w:rFonts w:ascii="Verdana" w:hAnsi="Verdana" w:cs="Verdana"/>
                <w:color w:val="000000"/>
              </w:rPr>
              <w:t xml:space="preserve">uur </w:t>
            </w:r>
          </w:p>
        </w:tc>
      </w:tr>
      <w:tr w:rsidR="00A81A3F" w:rsidRPr="009747A0" w:rsidTr="00D63618">
        <w:trPr>
          <w:trHeight w:val="212"/>
        </w:trPr>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Autopomp, tankwagen en voertuigen&gt;3.5 ton</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€ 125,00</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75</w:t>
            </w:r>
            <w:r>
              <w:rPr>
                <w:rFonts w:ascii="Verdana" w:hAnsi="Verdana" w:cs="Verdana"/>
                <w:color w:val="000000"/>
              </w:rPr>
              <w:t>,00</w:t>
            </w:r>
            <w:r w:rsidRPr="009747A0">
              <w:rPr>
                <w:rFonts w:ascii="Verdana" w:hAnsi="Verdana" w:cs="Verdana"/>
                <w:color w:val="000000"/>
              </w:rPr>
              <w:t>/u</w:t>
            </w:r>
          </w:p>
        </w:tc>
      </w:tr>
      <w:tr w:rsidR="00A81A3F" w:rsidRPr="009747A0" w:rsidTr="00D63618">
        <w:trPr>
          <w:trHeight w:val="412"/>
        </w:trPr>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Ladderwagen of elevator</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150</w:t>
            </w:r>
            <w:r>
              <w:rPr>
                <w:rFonts w:ascii="Verdana" w:hAnsi="Verdana" w:cs="Verdana"/>
                <w:color w:val="000000"/>
              </w:rPr>
              <w:t>,</w:t>
            </w:r>
            <w:r w:rsidRPr="009747A0">
              <w:rPr>
                <w:rFonts w:ascii="Verdana" w:hAnsi="Verdana" w:cs="Verdana"/>
                <w:color w:val="000000"/>
              </w:rPr>
              <w:t>00</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100</w:t>
            </w:r>
            <w:r>
              <w:rPr>
                <w:rFonts w:ascii="Verdana" w:hAnsi="Verdana" w:cs="Verdana"/>
                <w:color w:val="000000"/>
              </w:rPr>
              <w:t>,00</w:t>
            </w:r>
            <w:r w:rsidRPr="009747A0">
              <w:rPr>
                <w:rFonts w:ascii="Verdana" w:hAnsi="Verdana" w:cs="Verdana"/>
                <w:color w:val="000000"/>
              </w:rPr>
              <w:t>/u</w:t>
            </w:r>
          </w:p>
        </w:tc>
      </w:tr>
      <w:tr w:rsidR="00A81A3F" w:rsidRPr="009747A0" w:rsidTr="00D63618">
        <w:trPr>
          <w:trHeight w:val="94"/>
        </w:trPr>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Klein interventievoertuig &lt; 3.5 ton</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50</w:t>
            </w:r>
            <w:r>
              <w:rPr>
                <w:rFonts w:ascii="Verdana" w:hAnsi="Verdana" w:cs="Verdana"/>
                <w:color w:val="000000"/>
              </w:rPr>
              <w:t>,</w:t>
            </w:r>
            <w:r w:rsidRPr="009747A0">
              <w:rPr>
                <w:rFonts w:ascii="Verdana" w:hAnsi="Verdana" w:cs="Verdana"/>
                <w:color w:val="000000"/>
              </w:rPr>
              <w:t>00</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35</w:t>
            </w:r>
            <w:r>
              <w:rPr>
                <w:rFonts w:ascii="Verdana" w:hAnsi="Verdana" w:cs="Verdana"/>
                <w:color w:val="000000"/>
              </w:rPr>
              <w:t>,00</w:t>
            </w:r>
            <w:r w:rsidRPr="009747A0">
              <w:rPr>
                <w:rFonts w:ascii="Verdana" w:hAnsi="Verdana" w:cs="Verdana"/>
                <w:color w:val="000000"/>
              </w:rPr>
              <w:t>/u</w:t>
            </w:r>
          </w:p>
        </w:tc>
      </w:tr>
      <w:tr w:rsidR="00A81A3F" w:rsidRPr="009747A0" w:rsidTr="00D63618">
        <w:trPr>
          <w:trHeight w:val="94"/>
        </w:trPr>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Grootdebietpomp &gt; 4000 liter/min</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120</w:t>
            </w:r>
            <w:r>
              <w:rPr>
                <w:rFonts w:ascii="Verdana" w:hAnsi="Verdana" w:cs="Verdana"/>
                <w:color w:val="000000"/>
              </w:rPr>
              <w:t>,</w:t>
            </w:r>
            <w:r w:rsidRPr="009747A0">
              <w:rPr>
                <w:rFonts w:ascii="Verdana" w:hAnsi="Verdana" w:cs="Verdana"/>
                <w:color w:val="000000"/>
              </w:rPr>
              <w:t>00</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60</w:t>
            </w:r>
            <w:r>
              <w:rPr>
                <w:rFonts w:ascii="Verdana" w:hAnsi="Verdana" w:cs="Verdana"/>
                <w:color w:val="000000"/>
              </w:rPr>
              <w:t>,00</w:t>
            </w:r>
            <w:r w:rsidRPr="009747A0">
              <w:rPr>
                <w:rFonts w:ascii="Verdana" w:hAnsi="Verdana" w:cs="Verdana"/>
                <w:color w:val="000000"/>
              </w:rPr>
              <w:t>/u</w:t>
            </w:r>
          </w:p>
        </w:tc>
      </w:tr>
      <w:tr w:rsidR="00A81A3F" w:rsidRPr="009747A0" w:rsidTr="00D63618">
        <w:trPr>
          <w:trHeight w:val="212"/>
        </w:trPr>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Draagbare motorpomp, ev. op aanhangwagen</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40</w:t>
            </w:r>
            <w:r>
              <w:rPr>
                <w:rFonts w:ascii="Verdana" w:hAnsi="Verdana" w:cs="Verdana"/>
                <w:color w:val="000000"/>
              </w:rPr>
              <w:t>,</w:t>
            </w:r>
            <w:r w:rsidRPr="009747A0">
              <w:rPr>
                <w:rFonts w:ascii="Verdana" w:hAnsi="Verdana" w:cs="Verdana"/>
                <w:color w:val="000000"/>
              </w:rPr>
              <w:t>00</w:t>
            </w:r>
          </w:p>
        </w:tc>
        <w:tc>
          <w:tcPr>
            <w:tcW w:w="2970"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20</w:t>
            </w:r>
            <w:r>
              <w:rPr>
                <w:rFonts w:ascii="Verdana" w:hAnsi="Verdana" w:cs="Verdana"/>
                <w:color w:val="000000"/>
              </w:rPr>
              <w:t>,00</w:t>
            </w:r>
            <w:r w:rsidRPr="009747A0">
              <w:rPr>
                <w:rFonts w:ascii="Verdana" w:hAnsi="Verdana" w:cs="Verdana"/>
                <w:color w:val="000000"/>
              </w:rPr>
              <w:t>/u</w:t>
            </w:r>
          </w:p>
        </w:tc>
      </w:tr>
    </w:tbl>
    <w:p w:rsidR="00A81A3F" w:rsidRDefault="00A81A3F" w:rsidP="00A81A3F">
      <w:pPr>
        <w:rPr>
          <w:rFonts w:ascii="Verdana" w:hAnsi="Verdana"/>
        </w:rPr>
      </w:pPr>
    </w:p>
    <w:p w:rsidR="00A81A3F" w:rsidRDefault="00A81A3F" w:rsidP="00A81A3F">
      <w:pPr>
        <w:keepNext/>
        <w:keepLines/>
        <w:spacing w:after="120"/>
        <w:ind w:left="425"/>
        <w:rPr>
          <w:rFonts w:ascii="Verdana" w:hAnsi="Verdana"/>
        </w:rPr>
      </w:pPr>
      <w:r>
        <w:rPr>
          <w:rFonts w:ascii="Verdana" w:hAnsi="Verdana"/>
        </w:rPr>
        <w:t xml:space="preserve">§6. Gebruiksgoederen worden per dag aangerekend volgens onderstaande tarieven: </w:t>
      </w:r>
    </w:p>
    <w:tbl>
      <w:tblPr>
        <w:tblW w:w="0" w:type="auto"/>
        <w:tblInd w:w="428" w:type="dxa"/>
        <w:tblBorders>
          <w:top w:val="nil"/>
          <w:left w:val="nil"/>
          <w:bottom w:val="nil"/>
          <w:right w:val="nil"/>
        </w:tblBorders>
        <w:tblLayout w:type="fixed"/>
        <w:tblLook w:val="0000" w:firstRow="0" w:lastRow="0" w:firstColumn="0" w:lastColumn="0" w:noHBand="0" w:noVBand="0"/>
      </w:tblPr>
      <w:tblGrid>
        <w:gridCol w:w="4401"/>
        <w:gridCol w:w="4401"/>
      </w:tblGrid>
      <w:tr w:rsidR="00A81A3F" w:rsidRPr="009747A0" w:rsidTr="00D63618">
        <w:trPr>
          <w:trHeight w:val="103"/>
        </w:trPr>
        <w:tc>
          <w:tcPr>
            <w:tcW w:w="4401" w:type="dxa"/>
            <w:tcBorders>
              <w:top w:val="single" w:sz="4" w:space="0" w:color="auto"/>
              <w:left w:val="single" w:sz="4" w:space="0" w:color="auto"/>
              <w:bottom w:val="single" w:sz="4" w:space="0" w:color="auto"/>
              <w:right w:val="single" w:sz="4" w:space="0" w:color="auto"/>
            </w:tcBorders>
            <w:shd w:val="clear" w:color="auto" w:fill="FF0000"/>
          </w:tcPr>
          <w:p w:rsidR="00A81A3F" w:rsidRPr="009747A0" w:rsidRDefault="00A81A3F" w:rsidP="00D63618">
            <w:pPr>
              <w:keepNext/>
              <w:keepLines/>
              <w:autoSpaceDE w:val="0"/>
              <w:autoSpaceDN w:val="0"/>
              <w:adjustRightInd w:val="0"/>
              <w:rPr>
                <w:rFonts w:ascii="Verdana" w:hAnsi="Verdana" w:cs="Verdana"/>
                <w:color w:val="000000"/>
              </w:rPr>
            </w:pPr>
            <w:r w:rsidRPr="009747A0">
              <w:rPr>
                <w:rFonts w:ascii="Verdana" w:hAnsi="Verdana" w:cs="Verdana"/>
                <w:color w:val="000000"/>
              </w:rPr>
              <w:t xml:space="preserve">Omschrijving </w:t>
            </w:r>
          </w:p>
        </w:tc>
        <w:tc>
          <w:tcPr>
            <w:tcW w:w="4401" w:type="dxa"/>
            <w:tcBorders>
              <w:top w:val="single" w:sz="4" w:space="0" w:color="auto"/>
              <w:left w:val="single" w:sz="4" w:space="0" w:color="auto"/>
              <w:bottom w:val="single" w:sz="4" w:space="0" w:color="auto"/>
              <w:right w:val="single" w:sz="4" w:space="0" w:color="auto"/>
            </w:tcBorders>
            <w:shd w:val="clear" w:color="auto" w:fill="FF0000"/>
          </w:tcPr>
          <w:p w:rsidR="00A81A3F" w:rsidRPr="009747A0" w:rsidRDefault="00A81A3F" w:rsidP="00D63618">
            <w:pPr>
              <w:keepNext/>
              <w:keepLines/>
              <w:autoSpaceDE w:val="0"/>
              <w:autoSpaceDN w:val="0"/>
              <w:adjustRightInd w:val="0"/>
              <w:rPr>
                <w:rFonts w:ascii="Verdana" w:hAnsi="Verdana" w:cs="Verdana"/>
                <w:color w:val="000000"/>
              </w:rPr>
            </w:pPr>
            <w:r w:rsidRPr="009747A0">
              <w:rPr>
                <w:rFonts w:ascii="Verdana" w:hAnsi="Verdana" w:cs="Verdana"/>
                <w:color w:val="000000"/>
              </w:rPr>
              <w:t xml:space="preserve">Kostprijs per dag en per stuk </w:t>
            </w:r>
          </w:p>
        </w:tc>
      </w:tr>
      <w:tr w:rsidR="00A81A3F" w:rsidRPr="009747A0" w:rsidTr="00D63618">
        <w:trPr>
          <w:trHeight w:val="103"/>
        </w:trPr>
        <w:tc>
          <w:tcPr>
            <w:tcW w:w="4401"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Schoren of steunvijzels</w:t>
            </w:r>
          </w:p>
        </w:tc>
        <w:tc>
          <w:tcPr>
            <w:tcW w:w="4401"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6</w:t>
            </w:r>
            <w:r>
              <w:rPr>
                <w:rFonts w:ascii="Verdana" w:hAnsi="Verdana" w:cs="Verdana"/>
                <w:color w:val="000000"/>
              </w:rPr>
              <w:t>,</w:t>
            </w:r>
            <w:r w:rsidRPr="009747A0">
              <w:rPr>
                <w:rFonts w:ascii="Verdana" w:hAnsi="Verdana" w:cs="Verdana"/>
                <w:color w:val="000000"/>
              </w:rPr>
              <w:t xml:space="preserve">00 </w:t>
            </w:r>
          </w:p>
        </w:tc>
      </w:tr>
      <w:tr w:rsidR="00A81A3F" w:rsidRPr="009747A0" w:rsidTr="00D63618">
        <w:trPr>
          <w:trHeight w:val="103"/>
        </w:trPr>
        <w:tc>
          <w:tcPr>
            <w:tcW w:w="4401"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Klein elektrisch materieel</w:t>
            </w:r>
          </w:p>
        </w:tc>
        <w:tc>
          <w:tcPr>
            <w:tcW w:w="4401"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rPr>
                <w:rFonts w:ascii="Verdana" w:hAnsi="Verdana" w:cs="Verdana"/>
                <w:color w:val="000000"/>
              </w:rPr>
            </w:pPr>
            <w:r>
              <w:rPr>
                <w:rFonts w:ascii="Verdana" w:hAnsi="Verdana" w:cs="Verdana"/>
                <w:color w:val="000000"/>
              </w:rPr>
              <w:t>€ 10,</w:t>
            </w:r>
            <w:r w:rsidRPr="009747A0">
              <w:rPr>
                <w:rFonts w:ascii="Verdana" w:hAnsi="Verdana" w:cs="Verdana"/>
                <w:color w:val="000000"/>
              </w:rPr>
              <w:t xml:space="preserve">00 </w:t>
            </w:r>
          </w:p>
        </w:tc>
      </w:tr>
      <w:tr w:rsidR="00A81A3F" w:rsidRPr="009747A0" w:rsidTr="00D63618">
        <w:trPr>
          <w:trHeight w:val="103"/>
        </w:trPr>
        <w:tc>
          <w:tcPr>
            <w:tcW w:w="4401"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jc w:val="center"/>
              <w:rPr>
                <w:rFonts w:ascii="Verdana" w:hAnsi="Verdana" w:cs="Verdana"/>
                <w:color w:val="000000"/>
              </w:rPr>
            </w:pPr>
            <w:r w:rsidRPr="009747A0">
              <w:rPr>
                <w:rFonts w:ascii="Verdana" w:hAnsi="Verdana" w:cs="Verdana"/>
                <w:color w:val="000000"/>
              </w:rPr>
              <w:t>Persslang 45 of 70</w:t>
            </w:r>
          </w:p>
        </w:tc>
        <w:tc>
          <w:tcPr>
            <w:tcW w:w="4401" w:type="dxa"/>
            <w:tcBorders>
              <w:top w:val="single" w:sz="4" w:space="0" w:color="auto"/>
              <w:left w:val="single" w:sz="4" w:space="0" w:color="auto"/>
              <w:bottom w:val="single" w:sz="4" w:space="0" w:color="auto"/>
              <w:right w:val="single" w:sz="4" w:space="0" w:color="auto"/>
            </w:tcBorders>
          </w:tcPr>
          <w:p w:rsidR="00A81A3F" w:rsidRPr="009747A0" w:rsidRDefault="00A81A3F" w:rsidP="00D63618">
            <w:pPr>
              <w:autoSpaceDE w:val="0"/>
              <w:autoSpaceDN w:val="0"/>
              <w:adjustRightInd w:val="0"/>
              <w:rPr>
                <w:rFonts w:ascii="Verdana" w:hAnsi="Verdana" w:cs="Verdana"/>
                <w:color w:val="000000"/>
              </w:rPr>
            </w:pPr>
            <w:r>
              <w:rPr>
                <w:rFonts w:ascii="Verdana" w:hAnsi="Verdana" w:cs="Verdana"/>
                <w:color w:val="000000"/>
              </w:rPr>
              <w:t xml:space="preserve">€   </w:t>
            </w:r>
            <w:r w:rsidRPr="009747A0">
              <w:rPr>
                <w:rFonts w:ascii="Verdana" w:hAnsi="Verdana" w:cs="Verdana"/>
                <w:color w:val="000000"/>
              </w:rPr>
              <w:t>4</w:t>
            </w:r>
            <w:r>
              <w:rPr>
                <w:rFonts w:ascii="Verdana" w:hAnsi="Verdana" w:cs="Verdana"/>
                <w:color w:val="000000"/>
              </w:rPr>
              <w:t>,</w:t>
            </w:r>
            <w:r w:rsidRPr="009747A0">
              <w:rPr>
                <w:rFonts w:ascii="Verdana" w:hAnsi="Verdana" w:cs="Verdana"/>
                <w:color w:val="000000"/>
              </w:rPr>
              <w:t xml:space="preserve">00 </w:t>
            </w:r>
          </w:p>
        </w:tc>
      </w:tr>
    </w:tbl>
    <w:p w:rsidR="00A81A3F" w:rsidRPr="00EC3736" w:rsidRDefault="00A81A3F" w:rsidP="00A81A3F">
      <w:pPr>
        <w:tabs>
          <w:tab w:val="left" w:pos="1418"/>
        </w:tabs>
        <w:ind w:left="1418" w:hanging="1418"/>
        <w:rPr>
          <w:rFonts w:ascii="Verdana" w:hAnsi="Verdana"/>
        </w:rPr>
      </w:pPr>
    </w:p>
    <w:p w:rsidR="00A81A3F" w:rsidRDefault="00A81A3F" w:rsidP="00E04665">
      <w:pPr>
        <w:keepNext/>
        <w:keepLines/>
        <w:spacing w:after="120"/>
        <w:ind w:left="425"/>
        <w:rPr>
          <w:rFonts w:ascii="Verdana" w:hAnsi="Verdana"/>
        </w:rPr>
      </w:pPr>
      <w:r>
        <w:rPr>
          <w:rFonts w:ascii="Verdana" w:hAnsi="Verdana"/>
        </w:rPr>
        <w:lastRenderedPageBreak/>
        <w:t>§7. Verbruiksgoederen (oliekeerschermen, balken, dekzeilen, koorden, platen, planken, panlatten, absorberende korrels, absorptieslangen of – doeken, detergenten, wegwerp</w:t>
      </w:r>
      <w:r>
        <w:rPr>
          <w:rFonts w:ascii="Verdana" w:hAnsi="Verdana"/>
        </w:rPr>
        <w:softHyphen/>
        <w:t>kledij, … ( niet limitatieve opsomming) worden aangerekend aan de werkelijke ver</w:t>
      </w:r>
      <w:r>
        <w:rPr>
          <w:rFonts w:ascii="Verdana" w:hAnsi="Verdana"/>
        </w:rPr>
        <w:softHyphen/>
        <w:t xml:space="preserve">bruiksprijs. </w:t>
      </w:r>
    </w:p>
    <w:p w:rsidR="00A81A3F" w:rsidRDefault="00A81A3F" w:rsidP="00A81A3F">
      <w:pPr>
        <w:spacing w:after="120"/>
        <w:ind w:left="425"/>
        <w:rPr>
          <w:rFonts w:ascii="Verdana" w:hAnsi="Verdana"/>
        </w:rPr>
      </w:pPr>
      <w:r>
        <w:rPr>
          <w:rFonts w:ascii="Verdana" w:hAnsi="Verdana"/>
        </w:rPr>
        <w:t>§8. Water wordt geleverd onder voorbehoud van andersluidende overeenkomsten met de desbetreffende drinkwatermaatschappijen aan de reguliere drinkwaterprijs, te ver</w:t>
      </w:r>
      <w:r>
        <w:rPr>
          <w:rFonts w:ascii="Verdana" w:hAnsi="Verdana"/>
        </w:rPr>
        <w:softHyphen/>
        <w:t xml:space="preserve">meerderen met de gemeentelijke bijdrage en de bovengemeentelijke bijdrage. Prestaties door personeel en de inzet van materieel wordt respectievelijk aangerekend zoals beschreven in §4 en §5. </w:t>
      </w:r>
    </w:p>
    <w:p w:rsidR="00A81A3F" w:rsidRDefault="00A81A3F" w:rsidP="00A81A3F">
      <w:pPr>
        <w:spacing w:after="120"/>
        <w:ind w:left="425"/>
        <w:rPr>
          <w:rFonts w:ascii="Verdana" w:hAnsi="Verdana"/>
        </w:rPr>
      </w:pPr>
      <w:r>
        <w:rPr>
          <w:rFonts w:ascii="Verdana" w:hAnsi="Verdana"/>
        </w:rPr>
        <w:t xml:space="preserve">§9. Het verdelgen van wespen gebeurt gratis. </w:t>
      </w:r>
    </w:p>
    <w:p w:rsidR="00A81A3F" w:rsidRDefault="00A81A3F" w:rsidP="00A81A3F">
      <w:pPr>
        <w:spacing w:after="120"/>
        <w:ind w:left="425"/>
        <w:rPr>
          <w:rFonts w:ascii="Verdana" w:hAnsi="Verdana"/>
        </w:rPr>
      </w:pPr>
      <w:r>
        <w:rPr>
          <w:rFonts w:ascii="Verdana" w:hAnsi="Verdana"/>
        </w:rPr>
        <w:t>§10. Het redden van dieren is gratis indien alle andere mogelijkheden tot bevrijding uitgeput zijn of indien de snelle tussenkomst van de hulpdiensten voor redding nood</w:t>
      </w:r>
      <w:r>
        <w:rPr>
          <w:rFonts w:ascii="Verdana" w:hAnsi="Verdana"/>
        </w:rPr>
        <w:softHyphen/>
        <w:t xml:space="preserve">zakelijk is. Wanneer de brandweer vaststelt dat niet aan deze criteria voldaan wordt, zullen de tarieven zoals bepaald in artikel 4 en 5 van dit reglement van toepassing zijn. </w:t>
      </w:r>
      <w:r>
        <w:rPr>
          <w:rFonts w:ascii="Verdana" w:hAnsi="Verdana"/>
        </w:rPr>
        <w:br/>
        <w:t>Ook het vangen van loslopende honden is aan deze retributie onderhevig.</w:t>
      </w:r>
    </w:p>
    <w:p w:rsidR="00A81A3F" w:rsidRDefault="00A81A3F" w:rsidP="00A81A3F">
      <w:pPr>
        <w:spacing w:after="120"/>
        <w:ind w:left="425"/>
        <w:rPr>
          <w:rFonts w:ascii="Verdana" w:hAnsi="Verdana"/>
        </w:rPr>
      </w:pPr>
      <w:r>
        <w:rPr>
          <w:rFonts w:ascii="Verdana" w:hAnsi="Verdana"/>
        </w:rPr>
        <w:t xml:space="preserve">§11. Dringend vervoer per ziekenwagen wordt aangerekend volgens de bepalingen van de wet van 8 juli 1964 betreffende de dringende geneeskundige hulpverlening en de uitvoeringsbesluiten bij deze wet. </w:t>
      </w:r>
    </w:p>
    <w:p w:rsidR="00A81A3F" w:rsidRDefault="00A81A3F" w:rsidP="00A81A3F">
      <w:pPr>
        <w:spacing w:after="120"/>
        <w:ind w:left="425"/>
        <w:rPr>
          <w:rFonts w:ascii="Verdana" w:hAnsi="Verdana"/>
        </w:rPr>
      </w:pPr>
      <w:r>
        <w:rPr>
          <w:rFonts w:ascii="Verdana" w:hAnsi="Verdana"/>
        </w:rPr>
        <w:t xml:space="preserve">§12. De hulp aan ambulanciers bij dringend ziekenvervoer gebeurt gratis. </w:t>
      </w:r>
    </w:p>
    <w:p w:rsidR="00A81A3F" w:rsidRDefault="00A81A3F" w:rsidP="00A81A3F">
      <w:pPr>
        <w:spacing w:after="120"/>
        <w:ind w:left="425"/>
        <w:rPr>
          <w:rFonts w:ascii="Verdana" w:hAnsi="Verdana"/>
        </w:rPr>
      </w:pPr>
      <w:r>
        <w:rPr>
          <w:rFonts w:ascii="Verdana" w:hAnsi="Verdana"/>
        </w:rPr>
        <w:t>§13. Collocaties per ziekenwagen gebeuren enkel op gerechtelijk bevel en wordt aan</w:t>
      </w:r>
      <w:r>
        <w:rPr>
          <w:rFonts w:ascii="Verdana" w:hAnsi="Verdana"/>
        </w:rPr>
        <w:softHyphen/>
        <w:t>gerekend aan de patiënt aan € 100,00/rit en de kilometervergoeding volgens de bepalingen van de wet van 8 juli 1964 betreffende de dringende geneeskundige hulp</w:t>
      </w:r>
      <w:r>
        <w:rPr>
          <w:rFonts w:ascii="Verdana" w:hAnsi="Verdana"/>
        </w:rPr>
        <w:softHyphen/>
        <w:t xml:space="preserve">verlening en de uitvoeringsbesluiten van deze wet. </w:t>
      </w:r>
    </w:p>
    <w:p w:rsidR="00A81A3F" w:rsidRDefault="00A81A3F" w:rsidP="00A81A3F">
      <w:pPr>
        <w:spacing w:after="120"/>
        <w:ind w:left="425"/>
        <w:rPr>
          <w:rFonts w:ascii="Verdana" w:hAnsi="Verdana"/>
        </w:rPr>
      </w:pPr>
      <w:r>
        <w:rPr>
          <w:rFonts w:ascii="Verdana" w:hAnsi="Verdana"/>
        </w:rPr>
        <w:t>§14. Het redden van personen opgesloten in liften is gratis, voor zover een geldig, positief preventief controleverslag door een externe dienst voor technische controle kan voorgelegd worden.</w:t>
      </w:r>
      <w:r>
        <w:rPr>
          <w:rFonts w:ascii="Verdana" w:hAnsi="Verdana"/>
        </w:rPr>
        <w:br/>
        <w:t>In alle andere gevallen zullen de tarieven zoals bepaald in paragraaf 4 en 5 van dit artikel van toepassing zijn.</w:t>
      </w: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Pr>
          <w:rFonts w:ascii="Verdana" w:hAnsi="Verdana"/>
          <w:sz w:val="20"/>
          <w:u w:val="single"/>
        </w:rPr>
        <w:t>Tarieven voor brandpreventie</w:t>
      </w:r>
    </w:p>
    <w:p w:rsidR="00A81A3F" w:rsidRDefault="00A81A3F" w:rsidP="00A81A3F">
      <w:pPr>
        <w:spacing w:after="120"/>
        <w:ind w:left="425"/>
        <w:rPr>
          <w:rFonts w:ascii="Verdana" w:hAnsi="Verdana"/>
        </w:rPr>
      </w:pPr>
      <w:r>
        <w:rPr>
          <w:rFonts w:ascii="Verdana" w:hAnsi="Verdana"/>
        </w:rPr>
        <w:t>§1. De oppervlaktes waarvan sprake in dit artikel zijn gecumuleerde bruto-oppe</w:t>
      </w:r>
      <w:r>
        <w:rPr>
          <w:rFonts w:ascii="Verdana" w:hAnsi="Verdana"/>
        </w:rPr>
        <w:softHyphen/>
        <w:t xml:space="preserve">rvlaktes, dus de som van de oppervlaktes van alle bouwlagen. </w:t>
      </w:r>
    </w:p>
    <w:p w:rsidR="00A81A3F" w:rsidRDefault="00A81A3F" w:rsidP="00A81A3F">
      <w:pPr>
        <w:spacing w:after="120"/>
        <w:ind w:left="425"/>
        <w:rPr>
          <w:rFonts w:ascii="Verdana" w:hAnsi="Verdana"/>
        </w:rPr>
      </w:pPr>
      <w:r>
        <w:rPr>
          <w:rFonts w:ascii="Verdana" w:hAnsi="Verdana"/>
        </w:rPr>
        <w:t>§2. Het uitvoeren van preventieopdrachten en dossierstudies in het kader van aanvragen voor een stedenbouwkundige of milieuvergunning wordt vergoed als volgt:</w:t>
      </w:r>
    </w:p>
    <w:p w:rsidR="00A81A3F" w:rsidRDefault="00A81A3F" w:rsidP="00A81A3F">
      <w:pPr>
        <w:rPr>
          <w:rFonts w:ascii="Verdana" w:hAnsi="Verdana"/>
        </w:rPr>
      </w:pPr>
    </w:p>
    <w:tbl>
      <w:tblPr>
        <w:tblpPr w:leftFromText="141" w:rightFromText="141"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515"/>
      </w:tblGrid>
      <w:tr w:rsidR="00A81A3F" w:rsidRPr="001B7EA3" w:rsidTr="00D63618">
        <w:trPr>
          <w:trHeight w:val="110"/>
        </w:trPr>
        <w:tc>
          <w:tcPr>
            <w:tcW w:w="8152" w:type="dxa"/>
            <w:gridSpan w:val="2"/>
            <w:shd w:val="clear" w:color="auto" w:fill="FF0000"/>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Aanvraag tot stedenbouwkundige vergunning</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Lage gebouwen (bijlage 2) &lt; 2500 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€ 250,00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Lage gebouwen (bijlage 2) &gt; 2500 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€ 500,00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Middelhoge gebouwen (bijlage 3) &lt; 2500m²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€ 500,00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Middelhoge gebouwen (bijlage 3) &gt; 2500m²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€ 750,00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Hoge gebouwen (bijlage 4) &lt; 5000 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€ 750,00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Hoge gebouwen (bijlage 4) &gt; 5000 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€ 1.500,00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b/>
                <w:bCs/>
                <w:color w:val="000000"/>
              </w:rPr>
              <w:t>Supplement per verdieping vanaf verdieping 11</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€ 350,00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b/>
                <w:bCs/>
                <w:color w:val="000000"/>
              </w:rPr>
              <w:t>Supplement ondergrondse parkeergarage &gt; 2500m²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€ 300,00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b/>
                <w:bCs/>
                <w:color w:val="000000"/>
              </w:rPr>
            </w:pPr>
          </w:p>
        </w:tc>
        <w:tc>
          <w:tcPr>
            <w:tcW w:w="2515" w:type="dxa"/>
          </w:tcPr>
          <w:p w:rsidR="00A81A3F" w:rsidRPr="001B7EA3" w:rsidRDefault="00A81A3F" w:rsidP="00D63618">
            <w:pPr>
              <w:autoSpaceDE w:val="0"/>
              <w:autoSpaceDN w:val="0"/>
              <w:adjustRightInd w:val="0"/>
              <w:jc w:val="center"/>
              <w:rPr>
                <w:rFonts w:ascii="Calibri" w:hAnsi="Calibri" w:cs="Calibri"/>
                <w:color w:val="000000"/>
              </w:rPr>
            </w:pP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Industriegebouwen bijlage 6 – klasse A</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€ 250,00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Industriegebouwen bijlage 6 – klasse B</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€ 300,00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Industriegebouwen bijlage 6 – klasse C</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€ 350,00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b/>
                <w:bCs/>
                <w:color w:val="000000"/>
              </w:rPr>
              <w:t>Supplement industiegebouwen per m² vanaf 1000m²</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€ 0,12</w:t>
            </w:r>
            <w:r w:rsidRPr="001B7EA3">
              <w:rPr>
                <w:rFonts w:ascii="Calibri" w:hAnsi="Calibri" w:cs="Calibri"/>
                <w:color w:val="000000"/>
              </w:rPr>
              <w:t>/m²</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p>
        </w:tc>
        <w:tc>
          <w:tcPr>
            <w:tcW w:w="2515" w:type="dxa"/>
          </w:tcPr>
          <w:p w:rsidR="00A81A3F" w:rsidRDefault="00A81A3F" w:rsidP="00D63618">
            <w:pPr>
              <w:autoSpaceDE w:val="0"/>
              <w:autoSpaceDN w:val="0"/>
              <w:adjustRightInd w:val="0"/>
              <w:jc w:val="center"/>
              <w:rPr>
                <w:rFonts w:ascii="Calibri" w:hAnsi="Calibri" w:cs="Calibri"/>
                <w:color w:val="000000"/>
              </w:rPr>
            </w:pP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Landbouwbedrijven ongeacht oppervlakte of klasse</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€ 250,00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p>
        </w:tc>
        <w:tc>
          <w:tcPr>
            <w:tcW w:w="2515" w:type="dxa"/>
          </w:tcPr>
          <w:p w:rsidR="00A81A3F" w:rsidRPr="001B7EA3" w:rsidRDefault="00A81A3F" w:rsidP="00D63618">
            <w:pPr>
              <w:autoSpaceDE w:val="0"/>
              <w:autoSpaceDN w:val="0"/>
              <w:adjustRightInd w:val="0"/>
              <w:jc w:val="center"/>
              <w:rPr>
                <w:rFonts w:ascii="Calibri" w:hAnsi="Calibri" w:cs="Calibri"/>
                <w:color w:val="000000"/>
              </w:rPr>
            </w:pPr>
          </w:p>
        </w:tc>
      </w:tr>
      <w:tr w:rsidR="00A81A3F" w:rsidRPr="001B7EA3" w:rsidTr="00D63618">
        <w:trPr>
          <w:trHeight w:val="110"/>
        </w:trPr>
        <w:tc>
          <w:tcPr>
            <w:tcW w:w="8152" w:type="dxa"/>
            <w:gridSpan w:val="2"/>
            <w:shd w:val="clear" w:color="auto" w:fill="auto"/>
          </w:tcPr>
          <w:p w:rsidR="00A81A3F" w:rsidRPr="001B7EA3" w:rsidRDefault="00A81A3F" w:rsidP="00D63618">
            <w:pPr>
              <w:keepNext/>
              <w:keepLines/>
              <w:autoSpaceDE w:val="0"/>
              <w:autoSpaceDN w:val="0"/>
              <w:adjustRightInd w:val="0"/>
              <w:rPr>
                <w:rFonts w:ascii="Calibri" w:hAnsi="Calibri" w:cs="Calibri"/>
                <w:color w:val="000000"/>
              </w:rPr>
            </w:pPr>
            <w:r w:rsidRPr="001B7EA3">
              <w:rPr>
                <w:rFonts w:ascii="Calibri" w:hAnsi="Calibri" w:cs="Calibri"/>
                <w:b/>
                <w:bCs/>
                <w:color w:val="000000"/>
              </w:rPr>
              <w:t>Supplement voor specifieke gebouwen</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Logiesverstrekkende bedrijven, excl</w:t>
            </w:r>
            <w:r>
              <w:rPr>
                <w:rFonts w:ascii="Calibri" w:hAnsi="Calibri" w:cs="Calibri"/>
                <w:color w:val="000000"/>
              </w:rPr>
              <w:t>usief</w:t>
            </w:r>
            <w:r w:rsidRPr="001B7EA3">
              <w:rPr>
                <w:rFonts w:ascii="Calibri" w:hAnsi="Calibri" w:cs="Calibri"/>
                <w:color w:val="000000"/>
              </w:rPr>
              <w:t xml:space="preserve"> hotel</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Logiesverstrekkende bedrijven, hotel</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Kinderdagverblijf</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Schoolgebouwen</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€ 300,00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Schouwspelzalen</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€ 500,00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Voetbalstadia</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€ 500,00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Woonzorgcentra en rustverzorgingstehuizen</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€ 500,00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Ziekenhuizen</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€ 1.000,00</w:t>
            </w:r>
          </w:p>
        </w:tc>
      </w:tr>
      <w:tr w:rsidR="00A81A3F" w:rsidRPr="00714D0D" w:rsidTr="00D63618">
        <w:trPr>
          <w:trHeight w:val="110"/>
        </w:trPr>
        <w:tc>
          <w:tcPr>
            <w:tcW w:w="5637" w:type="dxa"/>
          </w:tcPr>
          <w:p w:rsidR="00A81A3F" w:rsidRPr="00714D0D" w:rsidRDefault="00A81A3F" w:rsidP="00D63618">
            <w:pPr>
              <w:autoSpaceDE w:val="0"/>
              <w:autoSpaceDN w:val="0"/>
              <w:adjustRightInd w:val="0"/>
              <w:rPr>
                <w:rFonts w:ascii="Calibri" w:hAnsi="Calibri" w:cs="Calibri"/>
                <w:color w:val="000000"/>
                <w:sz w:val="16"/>
                <w:szCs w:val="16"/>
              </w:rPr>
            </w:pPr>
          </w:p>
        </w:tc>
        <w:tc>
          <w:tcPr>
            <w:tcW w:w="2515" w:type="dxa"/>
          </w:tcPr>
          <w:p w:rsidR="00A81A3F" w:rsidRPr="00714D0D" w:rsidRDefault="00A81A3F" w:rsidP="00D63618">
            <w:pPr>
              <w:autoSpaceDE w:val="0"/>
              <w:autoSpaceDN w:val="0"/>
              <w:adjustRightInd w:val="0"/>
              <w:jc w:val="center"/>
              <w:rPr>
                <w:rFonts w:ascii="Calibri" w:hAnsi="Calibri" w:cs="Calibri"/>
                <w:color w:val="000000"/>
                <w:sz w:val="16"/>
                <w:szCs w:val="16"/>
              </w:rPr>
            </w:pP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Verkavelingsvergunning</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Pr>
                <w:rFonts w:ascii="Calibri" w:hAnsi="Calibri" w:cs="Calibri"/>
                <w:color w:val="000000"/>
              </w:rPr>
              <w:t>Toepassing van lokaal politiereglement</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€ 150,00</w:t>
            </w:r>
          </w:p>
        </w:tc>
      </w:tr>
      <w:tr w:rsidR="00A81A3F" w:rsidRPr="001B7EA3" w:rsidTr="00D63618">
        <w:trPr>
          <w:trHeight w:val="110"/>
        </w:trPr>
        <w:tc>
          <w:tcPr>
            <w:tcW w:w="5637" w:type="dxa"/>
          </w:tcPr>
          <w:p w:rsidR="00A81A3F" w:rsidRDefault="00A81A3F" w:rsidP="00D63618">
            <w:pPr>
              <w:autoSpaceDE w:val="0"/>
              <w:autoSpaceDN w:val="0"/>
              <w:adjustRightInd w:val="0"/>
              <w:rPr>
                <w:rFonts w:ascii="Calibri" w:hAnsi="Calibri" w:cs="Calibri"/>
                <w:color w:val="000000"/>
              </w:rPr>
            </w:pPr>
          </w:p>
        </w:tc>
        <w:tc>
          <w:tcPr>
            <w:tcW w:w="2515" w:type="dxa"/>
          </w:tcPr>
          <w:p w:rsidR="00A81A3F" w:rsidRDefault="00A81A3F" w:rsidP="00D63618">
            <w:pPr>
              <w:autoSpaceDE w:val="0"/>
              <w:autoSpaceDN w:val="0"/>
              <w:adjustRightInd w:val="0"/>
              <w:jc w:val="center"/>
              <w:rPr>
                <w:rFonts w:ascii="Calibri" w:hAnsi="Calibri" w:cs="Calibri"/>
                <w:color w:val="000000"/>
              </w:rPr>
            </w:pPr>
          </w:p>
        </w:tc>
      </w:tr>
      <w:tr w:rsidR="00A81A3F" w:rsidRPr="001B7EA3" w:rsidTr="00D63618">
        <w:trPr>
          <w:trHeight w:val="110"/>
        </w:trPr>
        <w:tc>
          <w:tcPr>
            <w:tcW w:w="8152" w:type="dxa"/>
            <w:gridSpan w:val="2"/>
            <w:shd w:val="clear" w:color="auto" w:fill="FF0000"/>
          </w:tcPr>
          <w:p w:rsidR="00A81A3F" w:rsidRPr="001B7EA3" w:rsidRDefault="00A81A3F" w:rsidP="00D63618">
            <w:pPr>
              <w:autoSpaceDE w:val="0"/>
              <w:autoSpaceDN w:val="0"/>
              <w:adjustRightInd w:val="0"/>
              <w:jc w:val="center"/>
              <w:rPr>
                <w:rFonts w:ascii="Calibri" w:hAnsi="Calibri" w:cs="Calibri"/>
                <w:color w:val="000000"/>
              </w:rPr>
            </w:pPr>
            <w:r w:rsidRPr="001B7EA3">
              <w:rPr>
                <w:rFonts w:ascii="Calibri" w:hAnsi="Calibri" w:cs="Calibri"/>
                <w:color w:val="000000"/>
              </w:rPr>
              <w:t>Milieuvergunningsaanvragen</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Klasse I</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€ 250,00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Klasse II</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Klasse III</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€ 150,00</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p>
        </w:tc>
        <w:tc>
          <w:tcPr>
            <w:tcW w:w="2515" w:type="dxa"/>
          </w:tcPr>
          <w:p w:rsidR="00A81A3F" w:rsidRPr="001B7EA3" w:rsidRDefault="00A81A3F" w:rsidP="00D63618">
            <w:pPr>
              <w:autoSpaceDE w:val="0"/>
              <w:autoSpaceDN w:val="0"/>
              <w:adjustRightInd w:val="0"/>
              <w:jc w:val="center"/>
              <w:rPr>
                <w:rFonts w:ascii="Calibri" w:hAnsi="Calibri" w:cs="Calibri"/>
                <w:color w:val="000000"/>
              </w:rPr>
            </w:pPr>
          </w:p>
        </w:tc>
      </w:tr>
      <w:tr w:rsidR="00A81A3F" w:rsidRPr="001B7EA3" w:rsidTr="00D63618">
        <w:trPr>
          <w:trHeight w:val="385"/>
        </w:trPr>
        <w:tc>
          <w:tcPr>
            <w:tcW w:w="8152" w:type="dxa"/>
            <w:gridSpan w:val="2"/>
            <w:shd w:val="clear" w:color="auto" w:fill="FF0000"/>
          </w:tcPr>
          <w:p w:rsidR="00A81A3F" w:rsidRPr="001B7EA3" w:rsidRDefault="00A81A3F" w:rsidP="00D63618">
            <w:pPr>
              <w:autoSpaceDE w:val="0"/>
              <w:autoSpaceDN w:val="0"/>
              <w:adjustRightInd w:val="0"/>
              <w:jc w:val="center"/>
              <w:rPr>
                <w:rFonts w:ascii="Calibri" w:hAnsi="Calibri" w:cs="Calibri"/>
                <w:color w:val="000000"/>
              </w:rPr>
            </w:pPr>
            <w:r w:rsidRPr="001B7EA3">
              <w:rPr>
                <w:rFonts w:ascii="Calibri" w:hAnsi="Calibri" w:cs="Calibri"/>
                <w:color w:val="000000"/>
              </w:rPr>
              <w:t>Vooradviezen, werfvergaderingen, verslag bij eerste ingebruikname, wijzigingen plannen of plaatsbezoeken ter opmaak van verslag of attestering van inrichtingen, preventie op evenementen</w:t>
            </w:r>
          </w:p>
        </w:tc>
      </w:tr>
      <w:tr w:rsidR="00A81A3F" w:rsidRPr="001B7EA3" w:rsidTr="00D63618">
        <w:trPr>
          <w:trHeight w:val="110"/>
        </w:trPr>
        <w:tc>
          <w:tcPr>
            <w:tcW w:w="5637" w:type="dxa"/>
          </w:tcPr>
          <w:p w:rsidR="00A81A3F" w:rsidRPr="001B7EA3" w:rsidRDefault="00A81A3F" w:rsidP="00D63618">
            <w:pPr>
              <w:autoSpaceDE w:val="0"/>
              <w:autoSpaceDN w:val="0"/>
              <w:adjustRightInd w:val="0"/>
              <w:rPr>
                <w:rFonts w:ascii="Calibri" w:hAnsi="Calibri" w:cs="Calibri"/>
                <w:color w:val="000000"/>
              </w:rPr>
            </w:pPr>
            <w:r w:rsidRPr="001B7EA3">
              <w:rPr>
                <w:rFonts w:ascii="Calibri" w:hAnsi="Calibri" w:cs="Calibri"/>
                <w:color w:val="000000"/>
              </w:rPr>
              <w:t>Uurtarief technicus brandvoorkoming</w:t>
            </w:r>
          </w:p>
        </w:tc>
        <w:tc>
          <w:tcPr>
            <w:tcW w:w="2515" w:type="dxa"/>
          </w:tcPr>
          <w:p w:rsidR="00A81A3F" w:rsidRPr="001B7EA3" w:rsidRDefault="00A81A3F" w:rsidP="00D63618">
            <w:pPr>
              <w:autoSpaceDE w:val="0"/>
              <w:autoSpaceDN w:val="0"/>
              <w:adjustRightInd w:val="0"/>
              <w:jc w:val="center"/>
              <w:rPr>
                <w:rFonts w:ascii="Calibri" w:hAnsi="Calibri" w:cs="Calibri"/>
                <w:color w:val="000000"/>
              </w:rPr>
            </w:pPr>
            <w:r>
              <w:rPr>
                <w:rFonts w:ascii="Calibri" w:hAnsi="Calibri" w:cs="Calibri"/>
                <w:color w:val="000000"/>
              </w:rPr>
              <w:t>€ 75,00</w:t>
            </w:r>
            <w:r w:rsidRPr="001B7EA3">
              <w:rPr>
                <w:rFonts w:ascii="Calibri" w:hAnsi="Calibri" w:cs="Calibri"/>
                <w:color w:val="000000"/>
              </w:rPr>
              <w:t>/u</w:t>
            </w:r>
          </w:p>
        </w:tc>
      </w:tr>
    </w:tbl>
    <w:p w:rsidR="00A81A3F" w:rsidRDefault="00A81A3F" w:rsidP="00A81A3F">
      <w:pPr>
        <w:spacing w:after="120"/>
        <w:ind w:left="425"/>
        <w:rPr>
          <w:rFonts w:ascii="Verdana" w:hAnsi="Verdana"/>
        </w:rPr>
      </w:pPr>
    </w:p>
    <w:p w:rsidR="00A81A3F" w:rsidRPr="00707988" w:rsidRDefault="00A81A3F" w:rsidP="00A81A3F">
      <w:pPr>
        <w:ind w:left="425"/>
        <w:rPr>
          <w:rFonts w:ascii="Verdana" w:hAnsi="Verdana"/>
        </w:rPr>
      </w:pPr>
      <w:r w:rsidRPr="00707988">
        <w:rPr>
          <w:rFonts w:ascii="Verdana" w:hAnsi="Verdana"/>
        </w:rPr>
        <w:t>§3. Elk begonnen uur wordt</w:t>
      </w:r>
      <w:r>
        <w:rPr>
          <w:rFonts w:ascii="Verdana" w:hAnsi="Verdana"/>
        </w:rPr>
        <w:t xml:space="preserve"> als een volledig uur beschouwd.</w:t>
      </w:r>
    </w:p>
    <w:p w:rsidR="00A81A3F" w:rsidRDefault="00A81A3F" w:rsidP="00A81A3F">
      <w:pPr>
        <w:pStyle w:val="Default"/>
        <w:ind w:left="1701"/>
        <w:rPr>
          <w:sz w:val="20"/>
          <w:szCs w:val="20"/>
        </w:rPr>
      </w:pP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Pr>
          <w:rFonts w:ascii="Verdana" w:hAnsi="Verdana"/>
          <w:sz w:val="20"/>
          <w:u w:val="single"/>
        </w:rPr>
        <w:t>Retributie op afschriften</w:t>
      </w:r>
    </w:p>
    <w:p w:rsidR="00A81A3F" w:rsidRPr="00707988" w:rsidRDefault="00A81A3F" w:rsidP="00A81A3F">
      <w:pPr>
        <w:spacing w:after="120"/>
        <w:ind w:left="425"/>
        <w:rPr>
          <w:rFonts w:ascii="Verdana" w:hAnsi="Verdana"/>
        </w:rPr>
      </w:pPr>
      <w:r w:rsidRPr="00707988">
        <w:rPr>
          <w:rFonts w:ascii="Verdana" w:hAnsi="Verdana"/>
        </w:rPr>
        <w:t xml:space="preserve">§1. Er wordt een retributie gevestigd voor het opzoeken, het samenstellen en het afleveren door de hulpverleningszone van allerhande administratieve stukken en inlichtingen. </w:t>
      </w:r>
    </w:p>
    <w:p w:rsidR="00A81A3F" w:rsidRPr="00707988" w:rsidRDefault="00A81A3F" w:rsidP="00A81A3F">
      <w:pPr>
        <w:spacing w:after="120"/>
        <w:ind w:left="425"/>
        <w:rPr>
          <w:rFonts w:ascii="Verdana" w:hAnsi="Verdana"/>
        </w:rPr>
      </w:pPr>
      <w:r w:rsidRPr="00707988">
        <w:rPr>
          <w:rFonts w:ascii="Verdana" w:hAnsi="Verdana"/>
        </w:rPr>
        <w:t xml:space="preserve">§2. Voor de aanvragen om inlichtingen, gevraagd door verzekeringsmaatschappijen, maatschappijen van onderlinge bijstand, hulpkassen, landsbonden, mutualiteiten, openbare instellingen, zowel rechtspersonen als natuurlijke personen of ter zake betrokken personen in verband met interventies of branden die hebben plaatsgehad op het grondgebied van de hulpverleningszone wordt </w:t>
      </w:r>
      <w:r>
        <w:rPr>
          <w:rFonts w:ascii="Verdana" w:hAnsi="Verdana"/>
        </w:rPr>
        <w:t xml:space="preserve">€ </w:t>
      </w:r>
      <w:r w:rsidRPr="00707988">
        <w:rPr>
          <w:rFonts w:ascii="Verdana" w:hAnsi="Verdana"/>
        </w:rPr>
        <w:t>25</w:t>
      </w:r>
      <w:r>
        <w:rPr>
          <w:rFonts w:ascii="Verdana" w:hAnsi="Verdana"/>
        </w:rPr>
        <w:t>,00</w:t>
      </w:r>
      <w:r w:rsidRPr="00707988">
        <w:rPr>
          <w:rFonts w:ascii="Verdana" w:hAnsi="Verdana"/>
        </w:rPr>
        <w:t xml:space="preserve"> per aanvraag of navolgende aanvraag aangerekend. De retributie is niet verschuldigd voor het verschaffen va</w:t>
      </w:r>
      <w:r>
        <w:rPr>
          <w:rFonts w:ascii="Verdana" w:hAnsi="Verdana"/>
        </w:rPr>
        <w:t>n administratieve inlichtingen a</w:t>
      </w:r>
      <w:r w:rsidRPr="00707988">
        <w:rPr>
          <w:rFonts w:ascii="Verdana" w:hAnsi="Verdana"/>
        </w:rPr>
        <w:t xml:space="preserve">an openbare besturen, welke handelen in uitvoering van hun wettelijke opdracht. </w:t>
      </w:r>
    </w:p>
    <w:p w:rsidR="00A81A3F" w:rsidRPr="00707988" w:rsidRDefault="00A81A3F" w:rsidP="00A81A3F">
      <w:pPr>
        <w:ind w:left="425"/>
        <w:rPr>
          <w:rFonts w:ascii="Verdana" w:hAnsi="Verdana"/>
        </w:rPr>
      </w:pPr>
      <w:r w:rsidRPr="00707988">
        <w:rPr>
          <w:rFonts w:ascii="Verdana" w:hAnsi="Verdana"/>
        </w:rPr>
        <w:t xml:space="preserve">§3. Voor de aanvraag van bestuursdocumenten wordt </w:t>
      </w:r>
      <w:r>
        <w:rPr>
          <w:rFonts w:ascii="Verdana" w:hAnsi="Verdana"/>
        </w:rPr>
        <w:t xml:space="preserve">€ </w:t>
      </w:r>
      <w:r w:rsidRPr="00707988">
        <w:rPr>
          <w:rFonts w:ascii="Verdana" w:hAnsi="Verdana"/>
        </w:rPr>
        <w:t>5</w:t>
      </w:r>
      <w:r>
        <w:rPr>
          <w:rFonts w:ascii="Verdana" w:hAnsi="Verdana"/>
        </w:rPr>
        <w:t>,00</w:t>
      </w:r>
      <w:r w:rsidRPr="00707988">
        <w:rPr>
          <w:rFonts w:ascii="Verdana" w:hAnsi="Verdana"/>
        </w:rPr>
        <w:t xml:space="preserve"> per aanvraag aange</w:t>
      </w:r>
      <w:r>
        <w:rPr>
          <w:rFonts w:ascii="Verdana" w:hAnsi="Verdana"/>
        </w:rPr>
        <w:softHyphen/>
      </w:r>
      <w:r w:rsidRPr="00707988">
        <w:rPr>
          <w:rFonts w:ascii="Verdana" w:hAnsi="Verdana"/>
        </w:rPr>
        <w:t xml:space="preserve">rekend </w:t>
      </w:r>
    </w:p>
    <w:p w:rsidR="00A81A3F" w:rsidRDefault="00A81A3F" w:rsidP="00A81A3F">
      <w:pPr>
        <w:pStyle w:val="Default"/>
        <w:rPr>
          <w:sz w:val="20"/>
          <w:szCs w:val="20"/>
        </w:rPr>
      </w:pP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sidRPr="002D038B">
        <w:rPr>
          <w:rFonts w:ascii="Verdana" w:hAnsi="Verdana"/>
          <w:sz w:val="20"/>
          <w:u w:val="single"/>
        </w:rPr>
        <w:t>Prijzen</w:t>
      </w:r>
    </w:p>
    <w:p w:rsidR="00A81A3F" w:rsidRPr="00707988" w:rsidRDefault="00A81A3F" w:rsidP="00A81A3F">
      <w:pPr>
        <w:ind w:left="425"/>
        <w:rPr>
          <w:rFonts w:ascii="Verdana" w:hAnsi="Verdana"/>
        </w:rPr>
      </w:pPr>
      <w:r w:rsidRPr="00707988">
        <w:rPr>
          <w:rFonts w:ascii="Verdana" w:hAnsi="Verdana"/>
        </w:rPr>
        <w:t xml:space="preserve">Alle vermelde prijzen zijn exclusief btw. </w:t>
      </w:r>
    </w:p>
    <w:p w:rsidR="00A81A3F" w:rsidRDefault="00A81A3F" w:rsidP="00A81A3F">
      <w:pPr>
        <w:pStyle w:val="Default"/>
        <w:ind w:left="1134"/>
        <w:rPr>
          <w:sz w:val="20"/>
          <w:szCs w:val="20"/>
        </w:rPr>
      </w:pP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sidRPr="002D038B">
        <w:rPr>
          <w:rFonts w:ascii="Verdana" w:hAnsi="Verdana"/>
          <w:sz w:val="20"/>
          <w:u w:val="single"/>
        </w:rPr>
        <w:t xml:space="preserve">Retributieplichtige </w:t>
      </w:r>
    </w:p>
    <w:p w:rsidR="00A81A3F" w:rsidRPr="00707988" w:rsidRDefault="00A81A3F" w:rsidP="00A81A3F">
      <w:pPr>
        <w:spacing w:after="120"/>
        <w:ind w:left="425"/>
        <w:rPr>
          <w:rFonts w:ascii="Verdana" w:hAnsi="Verdana"/>
        </w:rPr>
      </w:pPr>
      <w:r w:rsidRPr="00707988">
        <w:rPr>
          <w:rFonts w:ascii="Verdana" w:hAnsi="Verdana"/>
        </w:rPr>
        <w:t xml:space="preserve">§1. De retributie is verschuldigd door de aanvrager of de begunstigde van de prestatie of door de natuurlijke of rechtspersoon die de oorzaak is van de tussenkomst van de diensten van de hulpverleningszone (bv. in kader van ruiming van modder op de weg of milieuvervuiling), indien de identificatie nadien gebeurt. </w:t>
      </w:r>
    </w:p>
    <w:p w:rsidR="00A81A3F" w:rsidRPr="00707988" w:rsidRDefault="00A81A3F" w:rsidP="00A81A3F">
      <w:pPr>
        <w:spacing w:after="120"/>
        <w:ind w:left="425"/>
        <w:rPr>
          <w:rFonts w:ascii="Verdana" w:hAnsi="Verdana"/>
        </w:rPr>
      </w:pPr>
      <w:r w:rsidRPr="00707988">
        <w:rPr>
          <w:rFonts w:ascii="Verdana" w:hAnsi="Verdana"/>
        </w:rPr>
        <w:t>Inzake de opdrachten van brandpreventie is de retributie verschuldigd door de natuur</w:t>
      </w:r>
      <w:r>
        <w:rPr>
          <w:rFonts w:ascii="Verdana" w:hAnsi="Verdana"/>
        </w:rPr>
        <w:softHyphen/>
      </w:r>
      <w:r w:rsidRPr="00707988">
        <w:rPr>
          <w:rFonts w:ascii="Verdana" w:hAnsi="Verdana"/>
        </w:rPr>
        <w:t xml:space="preserve">lijke of rechtspersoon in wiens naam de bouwaanvraag of de inspectie gebeurt. </w:t>
      </w:r>
    </w:p>
    <w:p w:rsidR="00A81A3F" w:rsidRPr="00707988" w:rsidRDefault="00A81A3F" w:rsidP="00A81A3F">
      <w:pPr>
        <w:spacing w:after="120"/>
        <w:ind w:left="425"/>
        <w:rPr>
          <w:rFonts w:ascii="Verdana" w:hAnsi="Verdana"/>
        </w:rPr>
      </w:pPr>
      <w:r w:rsidRPr="00707988">
        <w:rPr>
          <w:rFonts w:ascii="Verdana" w:hAnsi="Verdana"/>
        </w:rPr>
        <w:t xml:space="preserve">§2. Ingeval er twee of meer begunstigden zijn, dan zijn deze hoofdelijk en ondeelbaar tot betaling gehouden. </w:t>
      </w:r>
    </w:p>
    <w:p w:rsidR="00A81A3F" w:rsidRDefault="00A81A3F" w:rsidP="00A81A3F">
      <w:pPr>
        <w:ind w:left="425"/>
        <w:rPr>
          <w:rFonts w:ascii="Verdana" w:hAnsi="Verdana"/>
        </w:rPr>
      </w:pPr>
      <w:r w:rsidRPr="00707988">
        <w:rPr>
          <w:rFonts w:ascii="Verdana" w:hAnsi="Verdana"/>
        </w:rPr>
        <w:t xml:space="preserve">§3. Indien de aard van de interventie en de vastgestelde feiten dit rechtvaardigen, neemt de brandweer in uitzonderlijke gevallen het initiatief om de factuur te splitsen en bijgevolg af te wijken van de hoofdelijkheid en ondeelbaarheid. </w:t>
      </w:r>
    </w:p>
    <w:p w:rsidR="00A81A3F" w:rsidRPr="00707988" w:rsidRDefault="00A81A3F" w:rsidP="00A81A3F">
      <w:pPr>
        <w:ind w:left="425"/>
        <w:rPr>
          <w:rFonts w:ascii="Verdana" w:hAnsi="Verdana"/>
        </w:rPr>
      </w:pP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sidRPr="002D038B">
        <w:rPr>
          <w:rFonts w:ascii="Verdana" w:hAnsi="Verdana"/>
          <w:sz w:val="20"/>
          <w:u w:val="single"/>
        </w:rPr>
        <w:t>Invorderingsprocedure</w:t>
      </w:r>
      <w:r>
        <w:rPr>
          <w:rFonts w:ascii="Verdana" w:hAnsi="Verdana"/>
          <w:sz w:val="20"/>
          <w:u w:val="single"/>
        </w:rPr>
        <w:t xml:space="preserve"> </w:t>
      </w:r>
      <w:r w:rsidRPr="002D038B">
        <w:rPr>
          <w:rFonts w:ascii="Verdana" w:hAnsi="Verdana"/>
          <w:sz w:val="20"/>
          <w:u w:val="single"/>
        </w:rPr>
        <w:t xml:space="preserve">- </w:t>
      </w:r>
      <w:r>
        <w:rPr>
          <w:rFonts w:ascii="Verdana" w:hAnsi="Verdana"/>
          <w:sz w:val="20"/>
          <w:u w:val="single"/>
        </w:rPr>
        <w:t>k</w:t>
      </w:r>
      <w:r w:rsidRPr="002D038B">
        <w:rPr>
          <w:rFonts w:ascii="Verdana" w:hAnsi="Verdana"/>
          <w:sz w:val="20"/>
          <w:u w:val="single"/>
        </w:rPr>
        <w:t>osten en intresten</w:t>
      </w:r>
    </w:p>
    <w:p w:rsidR="00A81A3F" w:rsidRPr="00707988" w:rsidRDefault="00A81A3F" w:rsidP="00A81A3F">
      <w:pPr>
        <w:ind w:left="425"/>
        <w:rPr>
          <w:rFonts w:ascii="Verdana" w:hAnsi="Verdana"/>
        </w:rPr>
      </w:pPr>
      <w:r w:rsidRPr="00707988">
        <w:rPr>
          <w:rFonts w:ascii="Verdana" w:hAnsi="Verdana"/>
        </w:rPr>
        <w:t xml:space="preserve">De betaling gebeurt binnen 30 dagen na verzending van de factuur op rekeningnummer van de </w:t>
      </w:r>
      <w:r>
        <w:rPr>
          <w:rFonts w:ascii="Verdana" w:hAnsi="Verdana"/>
        </w:rPr>
        <w:t>hulpverleningszone Westhoek</w:t>
      </w:r>
      <w:r w:rsidRPr="00707988">
        <w:rPr>
          <w:rFonts w:ascii="Verdana" w:hAnsi="Verdana"/>
        </w:rPr>
        <w:t xml:space="preserve">. </w:t>
      </w:r>
    </w:p>
    <w:p w:rsidR="00A81A3F" w:rsidRPr="00707988" w:rsidRDefault="00A81A3F" w:rsidP="00A81A3F">
      <w:pPr>
        <w:ind w:left="425"/>
        <w:rPr>
          <w:rFonts w:ascii="Verdana" w:hAnsi="Verdana"/>
        </w:rPr>
      </w:pPr>
      <w:r w:rsidRPr="00707988">
        <w:rPr>
          <w:rFonts w:ascii="Verdana" w:hAnsi="Verdana"/>
        </w:rPr>
        <w:t>Facturen die niet betaald zijn voor de vervaldag brengen van rechtswege en zonder ingebrekestelling intresten volgens de wettelijke rentevoet</w:t>
      </w:r>
      <w:r>
        <w:rPr>
          <w:rFonts w:ascii="Verdana" w:hAnsi="Verdana"/>
        </w:rPr>
        <w:t xml:space="preserve"> mee</w:t>
      </w:r>
      <w:r w:rsidRPr="00707988">
        <w:rPr>
          <w:rFonts w:ascii="Verdana" w:hAnsi="Verdana"/>
        </w:rPr>
        <w:t xml:space="preserve">. </w:t>
      </w:r>
    </w:p>
    <w:p w:rsidR="00A81A3F" w:rsidRPr="00707988" w:rsidRDefault="00A81A3F" w:rsidP="00A81A3F">
      <w:pPr>
        <w:ind w:left="425"/>
        <w:rPr>
          <w:rFonts w:ascii="Verdana" w:hAnsi="Verdana"/>
        </w:rPr>
      </w:pPr>
      <w:r w:rsidRPr="00707988">
        <w:rPr>
          <w:rFonts w:ascii="Verdana" w:hAnsi="Verdana"/>
        </w:rPr>
        <w:t xml:space="preserve">Indien de factuur op eerste verzoek niet betaald is, wordt een aanmaning verstuurd. Op elke niet-aangetekende aanmaning wordt een administratieve toeslag van </w:t>
      </w:r>
      <w:r>
        <w:rPr>
          <w:rFonts w:ascii="Verdana" w:hAnsi="Verdana"/>
        </w:rPr>
        <w:t xml:space="preserve">€ </w:t>
      </w:r>
      <w:r w:rsidRPr="00707988">
        <w:rPr>
          <w:rFonts w:ascii="Verdana" w:hAnsi="Verdana"/>
        </w:rPr>
        <w:t>5</w:t>
      </w:r>
      <w:r>
        <w:rPr>
          <w:rFonts w:ascii="Verdana" w:hAnsi="Verdana"/>
        </w:rPr>
        <w:t>,00</w:t>
      </w:r>
      <w:r w:rsidRPr="00707988">
        <w:rPr>
          <w:rFonts w:ascii="Verdana" w:hAnsi="Verdana"/>
        </w:rPr>
        <w:t xml:space="preserve"> toe</w:t>
      </w:r>
      <w:r>
        <w:rPr>
          <w:rFonts w:ascii="Verdana" w:hAnsi="Verdana"/>
        </w:rPr>
        <w:softHyphen/>
      </w:r>
      <w:r w:rsidRPr="00707988">
        <w:rPr>
          <w:rFonts w:ascii="Verdana" w:hAnsi="Verdana"/>
        </w:rPr>
        <w:t xml:space="preserve">gevoegd. Op elke aangetekende aanmaning wordt een administratieve toeslag van </w:t>
      </w:r>
      <w:r>
        <w:rPr>
          <w:rFonts w:ascii="Verdana" w:hAnsi="Verdana"/>
        </w:rPr>
        <w:t>€ </w:t>
      </w:r>
      <w:r w:rsidRPr="00707988">
        <w:rPr>
          <w:rFonts w:ascii="Verdana" w:hAnsi="Verdana"/>
        </w:rPr>
        <w:t>10</w:t>
      </w:r>
      <w:r>
        <w:rPr>
          <w:rFonts w:ascii="Verdana" w:hAnsi="Verdana"/>
        </w:rPr>
        <w:t>,00</w:t>
      </w:r>
      <w:r w:rsidRPr="00707988">
        <w:rPr>
          <w:rFonts w:ascii="Verdana" w:hAnsi="Verdana"/>
        </w:rPr>
        <w:t xml:space="preserve"> aan het openstaand</w:t>
      </w:r>
      <w:r>
        <w:rPr>
          <w:rFonts w:ascii="Verdana" w:hAnsi="Verdana"/>
        </w:rPr>
        <w:t>e</w:t>
      </w:r>
      <w:r w:rsidRPr="00707988">
        <w:rPr>
          <w:rFonts w:ascii="Verdana" w:hAnsi="Verdana"/>
        </w:rPr>
        <w:t xml:space="preserve"> saldo van de retributie toegevoegd. Deze administratieve toeslagen zijn cumulatief verschuldigd. </w:t>
      </w:r>
    </w:p>
    <w:p w:rsidR="00A81A3F" w:rsidRPr="00707988" w:rsidRDefault="00A81A3F" w:rsidP="00A81A3F">
      <w:pPr>
        <w:ind w:left="425"/>
        <w:rPr>
          <w:rFonts w:ascii="Verdana" w:hAnsi="Verdana"/>
        </w:rPr>
      </w:pPr>
      <w:r w:rsidRPr="00707988">
        <w:rPr>
          <w:rFonts w:ascii="Verdana" w:hAnsi="Verdana"/>
        </w:rPr>
        <w:t>Met het oog op de invordering van de onbetwiste en opeisbare retributie kan de bij</w:t>
      </w:r>
      <w:r>
        <w:rPr>
          <w:rFonts w:ascii="Verdana" w:hAnsi="Verdana"/>
        </w:rPr>
        <w:softHyphen/>
      </w:r>
      <w:r w:rsidRPr="00707988">
        <w:rPr>
          <w:rFonts w:ascii="Verdana" w:hAnsi="Verdana"/>
        </w:rPr>
        <w:t>zonder</w:t>
      </w:r>
      <w:r>
        <w:rPr>
          <w:rFonts w:ascii="Verdana" w:hAnsi="Verdana"/>
        </w:rPr>
        <w:t>e</w:t>
      </w:r>
      <w:r w:rsidRPr="00707988">
        <w:rPr>
          <w:rFonts w:ascii="Verdana" w:hAnsi="Verdana"/>
        </w:rPr>
        <w:t xml:space="preserve"> rekenplichtige een dwangbevel uitvaardigen, geviseerd en uitvoerbaar ver</w:t>
      </w:r>
      <w:r>
        <w:rPr>
          <w:rFonts w:ascii="Verdana" w:hAnsi="Verdana"/>
        </w:rPr>
        <w:softHyphen/>
      </w:r>
      <w:r w:rsidRPr="00707988">
        <w:rPr>
          <w:rFonts w:ascii="Verdana" w:hAnsi="Verdana"/>
        </w:rPr>
        <w:t xml:space="preserve">klaard door het </w:t>
      </w:r>
      <w:r>
        <w:rPr>
          <w:rFonts w:ascii="Verdana" w:hAnsi="Verdana"/>
        </w:rPr>
        <w:t>zone</w:t>
      </w:r>
      <w:r w:rsidRPr="00707988">
        <w:rPr>
          <w:rFonts w:ascii="Verdana" w:hAnsi="Verdana"/>
        </w:rPr>
        <w:t xml:space="preserve">college, overeenkomstig artikel 75 §2 van de wet op de civiele veiligheid. Een dergelijk dwangbevel wordt betekend bij gerechtsdeurwaardersexploot. De kosten van de invordering bij dwangbevel worden ten laste gelegd van de in gebreke blijvende schuldenaar. </w:t>
      </w:r>
    </w:p>
    <w:p w:rsidR="00A81A3F" w:rsidRDefault="00A81A3F" w:rsidP="00A81A3F">
      <w:pPr>
        <w:ind w:left="425"/>
        <w:rPr>
          <w:rFonts w:ascii="Verdana" w:hAnsi="Verdana"/>
        </w:rPr>
      </w:pPr>
      <w:r w:rsidRPr="00707988">
        <w:rPr>
          <w:rFonts w:ascii="Verdana" w:hAnsi="Verdana"/>
        </w:rPr>
        <w:t>Met het oog op de invordering van de betwiste en opeisbare retributie kan</w:t>
      </w:r>
      <w:r>
        <w:rPr>
          <w:rFonts w:ascii="Verdana" w:hAnsi="Verdana"/>
        </w:rPr>
        <w:t xml:space="preserve"> een</w:t>
      </w:r>
      <w:r w:rsidRPr="00707988">
        <w:rPr>
          <w:rFonts w:ascii="Verdana" w:hAnsi="Verdana"/>
        </w:rPr>
        <w:t xml:space="preserve"> beroep gedaan worden op de burgerrechtelijke invorderingsprocedure. De kosten ervan zijn ten laste van de in gebreke blijvende schuldenaar.</w:t>
      </w:r>
    </w:p>
    <w:p w:rsidR="00A81A3F" w:rsidRPr="00707988" w:rsidRDefault="00A81A3F" w:rsidP="00A81A3F">
      <w:pPr>
        <w:ind w:left="425"/>
        <w:rPr>
          <w:rFonts w:ascii="Verdana" w:hAnsi="Verdana"/>
        </w:rPr>
      </w:pPr>
    </w:p>
    <w:p w:rsidR="00A81A3F" w:rsidRPr="002D038B" w:rsidRDefault="00A81A3F" w:rsidP="00A81A3F">
      <w:pPr>
        <w:pStyle w:val="Lijstalinea"/>
        <w:keepNext/>
        <w:keepLines/>
        <w:numPr>
          <w:ilvl w:val="0"/>
          <w:numId w:val="1"/>
        </w:numPr>
        <w:tabs>
          <w:tab w:val="left" w:pos="851"/>
        </w:tabs>
        <w:spacing w:after="120"/>
        <w:ind w:left="426"/>
        <w:contextualSpacing w:val="0"/>
        <w:rPr>
          <w:rFonts w:ascii="Verdana" w:hAnsi="Verdana"/>
          <w:sz w:val="20"/>
          <w:u w:val="single"/>
        </w:rPr>
      </w:pPr>
      <w:r>
        <w:rPr>
          <w:rFonts w:ascii="Verdana" w:hAnsi="Verdana"/>
          <w:sz w:val="20"/>
          <w:u w:val="single"/>
        </w:rPr>
        <w:t>Vrijstellingen</w:t>
      </w:r>
    </w:p>
    <w:p w:rsidR="00A81A3F" w:rsidRPr="00707988" w:rsidRDefault="00A81A3F" w:rsidP="00A81A3F">
      <w:pPr>
        <w:keepNext/>
        <w:keepLines/>
        <w:ind w:left="425"/>
        <w:rPr>
          <w:rFonts w:ascii="Verdana" w:hAnsi="Verdana"/>
        </w:rPr>
      </w:pPr>
      <w:r w:rsidRPr="00707988">
        <w:rPr>
          <w:rFonts w:ascii="Verdana" w:hAnsi="Verdana"/>
        </w:rPr>
        <w:t>De gemeentebesturen die deel uitmaken van de hulpverleningszone Westhoek en die bijdragen in de financiering van de hulpverleningszone Westhoek via de zonale verdeel</w:t>
      </w:r>
      <w:r>
        <w:rPr>
          <w:rFonts w:ascii="Verdana" w:hAnsi="Verdana"/>
        </w:rPr>
        <w:softHyphen/>
      </w:r>
      <w:r w:rsidRPr="00707988">
        <w:rPr>
          <w:rFonts w:ascii="Verdana" w:hAnsi="Verdana"/>
        </w:rPr>
        <w:t>sleutel worden vrijgesteld van de retributies volgens dit reglement voor aanvragen die in opdracht en voor rekening van hun gemeentebestuur of burgemeester worden uitge</w:t>
      </w:r>
      <w:r>
        <w:rPr>
          <w:rFonts w:ascii="Verdana" w:hAnsi="Verdana"/>
        </w:rPr>
        <w:softHyphen/>
      </w:r>
      <w:r w:rsidRPr="00707988">
        <w:rPr>
          <w:rFonts w:ascii="Verdana" w:hAnsi="Verdana"/>
        </w:rPr>
        <w:t xml:space="preserve">voerd. </w:t>
      </w:r>
    </w:p>
    <w:p w:rsidR="00A81A3F" w:rsidRDefault="00A81A3F" w:rsidP="00A81A3F">
      <w:pPr>
        <w:ind w:left="425"/>
        <w:rPr>
          <w:rFonts w:ascii="Verdana" w:hAnsi="Verdana"/>
        </w:rPr>
      </w:pPr>
      <w:r w:rsidRPr="00707988">
        <w:rPr>
          <w:rFonts w:ascii="Verdana" w:hAnsi="Verdana"/>
        </w:rPr>
        <w:t>Dezelfde vrijstelling geldt voor de aanvragen in opdracht en voor rekening van het OCMW of de politiezone of</w:t>
      </w:r>
      <w:r>
        <w:rPr>
          <w:rFonts w:ascii="Verdana" w:hAnsi="Verdana"/>
        </w:rPr>
        <w:t xml:space="preserve"> de</w:t>
      </w:r>
      <w:r w:rsidRPr="00707988">
        <w:rPr>
          <w:rFonts w:ascii="Verdana" w:hAnsi="Verdana"/>
        </w:rPr>
        <w:t xml:space="preserve"> intern of extern verzelfstandigde agentschappen waarvan deze gemeentebesturen deel uitmaken.</w:t>
      </w:r>
    </w:p>
    <w:p w:rsidR="00A81A3F" w:rsidRPr="00707988" w:rsidRDefault="00A81A3F" w:rsidP="00A81A3F">
      <w:pPr>
        <w:ind w:left="425"/>
        <w:rPr>
          <w:rFonts w:ascii="Verdana" w:hAnsi="Verdana"/>
        </w:rPr>
      </w:pP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Pr>
          <w:rFonts w:ascii="Verdana" w:hAnsi="Verdana"/>
          <w:sz w:val="20"/>
          <w:u w:val="single"/>
        </w:rPr>
        <w:t xml:space="preserve">Bijzondere bepalingen </w:t>
      </w:r>
    </w:p>
    <w:p w:rsidR="00A81A3F" w:rsidRDefault="00A81A3F" w:rsidP="00A81A3F">
      <w:pPr>
        <w:ind w:left="425"/>
        <w:rPr>
          <w:rFonts w:ascii="Verdana" w:hAnsi="Verdana"/>
        </w:rPr>
      </w:pPr>
      <w:r w:rsidRPr="00707988">
        <w:rPr>
          <w:rFonts w:ascii="Verdana" w:hAnsi="Verdana"/>
        </w:rPr>
        <w:t xml:space="preserve">Bijzondere tussenkomsten die niet voorzien zijn in dit tariefreglement kunnen per afzonderlijk geval op voordracht van het </w:t>
      </w:r>
      <w:r>
        <w:rPr>
          <w:rFonts w:ascii="Verdana" w:hAnsi="Verdana"/>
        </w:rPr>
        <w:t>zone</w:t>
      </w:r>
      <w:r w:rsidRPr="00707988">
        <w:rPr>
          <w:rFonts w:ascii="Verdana" w:hAnsi="Verdana"/>
        </w:rPr>
        <w:t>college tegen kostprijs vastgesteld worden</w:t>
      </w:r>
      <w:r>
        <w:rPr>
          <w:rFonts w:ascii="Verdana" w:hAnsi="Verdana"/>
        </w:rPr>
        <w:t>.</w:t>
      </w:r>
    </w:p>
    <w:p w:rsidR="00A81A3F" w:rsidRPr="00707988" w:rsidRDefault="00A81A3F" w:rsidP="00A81A3F">
      <w:pPr>
        <w:ind w:left="425"/>
        <w:rPr>
          <w:rFonts w:ascii="Verdana" w:hAnsi="Verdana"/>
        </w:rPr>
      </w:pPr>
    </w:p>
    <w:p w:rsidR="00A81A3F" w:rsidRPr="002D038B" w:rsidRDefault="00A81A3F" w:rsidP="00A81A3F">
      <w:pPr>
        <w:pStyle w:val="Lijstalinea"/>
        <w:numPr>
          <w:ilvl w:val="0"/>
          <w:numId w:val="1"/>
        </w:numPr>
        <w:tabs>
          <w:tab w:val="left" w:pos="851"/>
        </w:tabs>
        <w:spacing w:after="120"/>
        <w:ind w:left="426"/>
        <w:contextualSpacing w:val="0"/>
        <w:rPr>
          <w:rFonts w:ascii="Verdana" w:hAnsi="Verdana"/>
          <w:sz w:val="20"/>
          <w:u w:val="single"/>
        </w:rPr>
      </w:pPr>
      <w:r>
        <w:rPr>
          <w:rFonts w:ascii="Verdana" w:hAnsi="Verdana"/>
          <w:sz w:val="20"/>
          <w:u w:val="single"/>
        </w:rPr>
        <w:t xml:space="preserve">Inwerkingtreding </w:t>
      </w:r>
    </w:p>
    <w:p w:rsidR="00A81A3F" w:rsidRDefault="00A81A3F" w:rsidP="00A81A3F">
      <w:pPr>
        <w:spacing w:after="120"/>
        <w:ind w:left="425"/>
        <w:rPr>
          <w:rFonts w:ascii="Verdana" w:hAnsi="Verdana"/>
        </w:rPr>
      </w:pPr>
      <w:r w:rsidRPr="00707988">
        <w:rPr>
          <w:rFonts w:ascii="Verdana" w:hAnsi="Verdana"/>
        </w:rPr>
        <w:t xml:space="preserve">Dit retributiereglement treedt in werking </w:t>
      </w:r>
      <w:r>
        <w:rPr>
          <w:rFonts w:ascii="Verdana" w:hAnsi="Verdana"/>
        </w:rPr>
        <w:t>op 1 februari 2016</w:t>
      </w:r>
      <w:r w:rsidRPr="00707988">
        <w:rPr>
          <w:rFonts w:ascii="Verdana" w:hAnsi="Verdana"/>
        </w:rPr>
        <w:t>.</w:t>
      </w:r>
    </w:p>
    <w:p w:rsidR="00A81A3F" w:rsidRDefault="00A81A3F" w:rsidP="00A81A3F">
      <w:pPr>
        <w:spacing w:after="120"/>
        <w:ind w:left="425"/>
        <w:rPr>
          <w:rFonts w:ascii="Verdana" w:hAnsi="Verdana"/>
        </w:rPr>
      </w:pPr>
    </w:p>
    <w:p w:rsidR="009B5B68" w:rsidRDefault="00B47CBC" w:rsidP="00E04665">
      <w:pPr>
        <w:ind w:right="-426"/>
      </w:pPr>
    </w:p>
    <w:sectPr w:rsidR="009B5B68" w:rsidSect="00E04665">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4217"/>
    <w:multiLevelType w:val="hybridMultilevel"/>
    <w:tmpl w:val="A82ADB32"/>
    <w:lvl w:ilvl="0" w:tplc="0C044B6A">
      <w:start w:val="1"/>
      <w:numFmt w:val="decimal"/>
      <w:lvlText w:val="Art. %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884776"/>
    <w:multiLevelType w:val="hybridMultilevel"/>
    <w:tmpl w:val="66A2B248"/>
    <w:lvl w:ilvl="0" w:tplc="0813000F">
      <w:start w:val="1"/>
      <w:numFmt w:val="decimal"/>
      <w:lvlText w:val="%1."/>
      <w:lvlJc w:val="left"/>
      <w:pPr>
        <w:ind w:left="1145" w:hanging="360"/>
      </w:pPr>
    </w:lvl>
    <w:lvl w:ilvl="1" w:tplc="08130019" w:tentative="1">
      <w:start w:val="1"/>
      <w:numFmt w:val="lowerLetter"/>
      <w:lvlText w:val="%2."/>
      <w:lvlJc w:val="left"/>
      <w:pPr>
        <w:ind w:left="1865" w:hanging="360"/>
      </w:pPr>
    </w:lvl>
    <w:lvl w:ilvl="2" w:tplc="0813001B" w:tentative="1">
      <w:start w:val="1"/>
      <w:numFmt w:val="lowerRoman"/>
      <w:lvlText w:val="%3."/>
      <w:lvlJc w:val="right"/>
      <w:pPr>
        <w:ind w:left="2585" w:hanging="180"/>
      </w:pPr>
    </w:lvl>
    <w:lvl w:ilvl="3" w:tplc="0813000F" w:tentative="1">
      <w:start w:val="1"/>
      <w:numFmt w:val="decimal"/>
      <w:lvlText w:val="%4."/>
      <w:lvlJc w:val="left"/>
      <w:pPr>
        <w:ind w:left="3305" w:hanging="360"/>
      </w:pPr>
    </w:lvl>
    <w:lvl w:ilvl="4" w:tplc="08130019" w:tentative="1">
      <w:start w:val="1"/>
      <w:numFmt w:val="lowerLetter"/>
      <w:lvlText w:val="%5."/>
      <w:lvlJc w:val="left"/>
      <w:pPr>
        <w:ind w:left="4025" w:hanging="360"/>
      </w:pPr>
    </w:lvl>
    <w:lvl w:ilvl="5" w:tplc="0813001B" w:tentative="1">
      <w:start w:val="1"/>
      <w:numFmt w:val="lowerRoman"/>
      <w:lvlText w:val="%6."/>
      <w:lvlJc w:val="right"/>
      <w:pPr>
        <w:ind w:left="4745" w:hanging="180"/>
      </w:pPr>
    </w:lvl>
    <w:lvl w:ilvl="6" w:tplc="0813000F" w:tentative="1">
      <w:start w:val="1"/>
      <w:numFmt w:val="decimal"/>
      <w:lvlText w:val="%7."/>
      <w:lvlJc w:val="left"/>
      <w:pPr>
        <w:ind w:left="5465" w:hanging="360"/>
      </w:pPr>
    </w:lvl>
    <w:lvl w:ilvl="7" w:tplc="08130019" w:tentative="1">
      <w:start w:val="1"/>
      <w:numFmt w:val="lowerLetter"/>
      <w:lvlText w:val="%8."/>
      <w:lvlJc w:val="left"/>
      <w:pPr>
        <w:ind w:left="6185" w:hanging="360"/>
      </w:pPr>
    </w:lvl>
    <w:lvl w:ilvl="8" w:tplc="0813001B" w:tentative="1">
      <w:start w:val="1"/>
      <w:numFmt w:val="lowerRoman"/>
      <w:lvlText w:val="%9."/>
      <w:lvlJc w:val="right"/>
      <w:pPr>
        <w:ind w:left="6905" w:hanging="180"/>
      </w:pPr>
    </w:lvl>
  </w:abstractNum>
  <w:abstractNum w:abstractNumId="2" w15:restartNumberingAfterBreak="0">
    <w:nsid w:val="30EC0A76"/>
    <w:multiLevelType w:val="hybridMultilevel"/>
    <w:tmpl w:val="159C7E2A"/>
    <w:lvl w:ilvl="0" w:tplc="FA066C00">
      <w:start w:val="3"/>
      <w:numFmt w:val="bullet"/>
      <w:lvlText w:val="-"/>
      <w:lvlJc w:val="left"/>
      <w:pPr>
        <w:ind w:left="1145" w:hanging="360"/>
      </w:pPr>
      <w:rPr>
        <w:rFonts w:ascii="Verdana" w:eastAsiaTheme="minorHAnsi" w:hAnsi="Verdana" w:cstheme="minorBidi"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3F"/>
    <w:rsid w:val="00A32B2A"/>
    <w:rsid w:val="00A81A3F"/>
    <w:rsid w:val="00AC1ED6"/>
    <w:rsid w:val="00B47CBC"/>
    <w:rsid w:val="00D15FC6"/>
    <w:rsid w:val="00E046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96313-DF69-4333-860F-5997377C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A3F"/>
    <w:pPr>
      <w:spacing w:after="0" w:line="240" w:lineRule="auto"/>
    </w:pPr>
    <w:rPr>
      <w:rFonts w:ascii="Microsoft Sans Serif" w:eastAsia="Times New Roman" w:hAnsi="Microsoft Sans Serif"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1A3F"/>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1A3F"/>
    <w:pPr>
      <w:spacing w:after="200" w:line="276" w:lineRule="auto"/>
      <w:ind w:left="720"/>
      <w:contextualSpacing/>
    </w:pPr>
    <w:rPr>
      <w:rFonts w:ascii="Calibri" w:eastAsia="Calibri" w:hAnsi="Calibri"/>
      <w:sz w:val="22"/>
      <w:szCs w:val="22"/>
      <w:lang w:val="nl-BE" w:eastAsia="en-US"/>
    </w:rPr>
  </w:style>
  <w:style w:type="paragraph" w:customStyle="1" w:styleId="Default">
    <w:name w:val="Default"/>
    <w:rsid w:val="00A81A3F"/>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1897</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Gemeentebestuur Koksijde</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gemeentebestuur koksijde</dc:creator>
  <cp:lastModifiedBy>Cevi</cp:lastModifiedBy>
  <cp:revision>2</cp:revision>
  <dcterms:created xsi:type="dcterms:W3CDTF">2016-02-01T08:45:00Z</dcterms:created>
  <dcterms:modified xsi:type="dcterms:W3CDTF">2016-02-01T08:45:00Z</dcterms:modified>
</cp:coreProperties>
</file>